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fldChar w:fldCharType="end"/>
            </w:r>
            <w:bookmarkEnd w:id="2"/>
          </w:p>
        </w:tc>
      </w:tr>
    </w:tbl>
    <w:p>
      <w:pPr>
        <w:pStyle w:val="51"/>
        <w:framePr w:w="9639" w:h="624" w:hRule="exact" w:hSpace="181" w:vSpace="181"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2021</w:t>
      </w:r>
      <w:r>
        <w:fldChar w:fldCharType="end"/>
      </w:r>
      <w:bookmarkEnd w:id="6"/>
    </w:p>
    <w:p>
      <w:pPr>
        <w:pStyle w:val="197"/>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2699385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55pt;height:0pt;width:481.9pt;mso-position-horizontal-relative:page;mso-position-vertical-relative:page;z-index:251659264;mso-width-relative:page;mso-height-relative:page;" filled="f" stroked="t" coordsize="21600,21600" o:allowoverlap="f" o:gfxdata="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TeJ0i1wAAAAwBAAAPAAAAAAAAAAEAIAAAACIAAABk&#10;cnMvZG93bnJldi54bWxQSwECFAAUAAAACACHTuJAw4fP0M4BAABsAwAADgAAAAAAAAABACAAAAAm&#10;AQAAZHJzL2Uyb0RvYy54bWxQSwUGAAAAAAYABgBZAQAAZgUA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w w:val="100"/>
        </w:rPr>
      </w:pPr>
    </w:p>
    <w:p>
      <w:pPr>
        <w:pStyle w:val="198"/>
        <w:framePr w:h="6974" w:hRule="exact"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绿色食品 酿酒葡萄桂葡6号生产技术规程</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Green food—technical code of practice for production of Guipu No.6 wine grape</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bookmarkStart w:id="10" w:name="下拉1"/>
      <w:r>
        <w:rPr>
          <w:rFonts w:hint="eastAsia"/>
          <w:sz w:val="24"/>
          <w:szCs w:val="28"/>
        </w:rPr>
        <w:t>征求意见稿</w:t>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6"/>
        <w:framePr w:w="9639" w:h="6974" w:hRule="exact" w:wrap="around" w:vAnchor="page" w:hAnchor="page" w:x="1419" w:y="6408" w:anchorLock="1"/>
        <w:spacing w:beforeLines="300" w:afterLines="30" w:line="240" w:lineRule="auto"/>
        <w:textAlignment w:val="bottom"/>
        <w:rPr>
          <w:b/>
          <w:sz w:val="21"/>
          <w:szCs w:val="28"/>
        </w:rPr>
      </w:pPr>
    </w:p>
    <w:p>
      <w:pPr>
        <w:pStyle w:val="194"/>
        <w:framePr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2"/>
        <w:framePr w:h="584" w:hRule="exact" w:hSpace="181" w:vSpace="181"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9251950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5pt;height:0pt;width:481.9pt;mso-position-horizontal-relative:page;mso-position-vertical-relative:page;z-index:251660288;mso-width-relative:page;mso-height-relative:page;" filled="f" stroked="t" coordsize="21600,21600" o:gfxdata="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CCK6EtcAAAAOAQAADwAAAAAAAAABACAAAAAiAAAAZHJz&#10;L2Rvd25yZXYueG1sUEsBAhQAFAAAAAgAh07iQH8Kkd/MAQAAagMAAA4AAAAAAAAAAQAgAAAAJgEA&#10;AGRycy9lMm9Eb2MueG1sUEsFBgAAAAAGAAYAWQEAAGQFAAAAAA==&#10;">
                <v:fill on="f" focussize="0,0"/>
                <v:stroke color="#000000" joinstyle="round"/>
                <v:imagedata o:title=""/>
                <o:lock v:ext="edit" aspectratio="f"/>
                <w10:anchorlock/>
              </v:line>
            </w:pict>
          </mc:Fallback>
        </mc:AlternateContent>
      </w:r>
    </w:p>
    <w:p>
      <w:pPr>
        <w:pStyle w:val="90"/>
        <w:spacing w:after="360"/>
      </w:pPr>
      <w:bookmarkStart w:id="19"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本文件由广西壮族自治区农业科学院葡萄与葡萄酒研究所提出。</w:t>
      </w:r>
    </w:p>
    <w:p>
      <w:pPr>
        <w:pStyle w:val="57"/>
        <w:ind w:firstLine="420"/>
      </w:pPr>
      <w:r>
        <w:rPr>
          <w:rFonts w:hint="eastAsia"/>
        </w:rPr>
        <w:t>本文件起草单位：广西壮族自治区农业科学院葡萄与葡萄酒研究所</w:t>
      </w:r>
      <w:r>
        <w:rPr>
          <w:rFonts w:hint="eastAsia"/>
          <w:lang w:val="en-US" w:eastAsia="zh-CN"/>
        </w:rPr>
        <w:t>等</w:t>
      </w:r>
      <w:bookmarkStart w:id="41" w:name="_GoBack"/>
      <w:bookmarkEnd w:id="41"/>
      <w:r>
        <w:rPr>
          <w:rFonts w:hint="eastAsia"/>
        </w:rPr>
        <w:t>。</w:t>
      </w:r>
    </w:p>
    <w:p>
      <w:pPr>
        <w:pStyle w:val="57"/>
        <w:ind w:firstLine="420"/>
      </w:pPr>
      <w:r>
        <w:rPr>
          <w:rFonts w:hint="eastAsia"/>
        </w:rPr>
        <w:t>本文件主要起草人：成果、张劲、谢太理、周思泓、周咏梅、谢宏昭、谢林君、黄林华、庞丽婷、陆妃妃。</w:t>
      </w:r>
    </w:p>
    <w:p>
      <w:pPr>
        <w:pStyle w:val="57"/>
        <w:ind w:firstLine="420"/>
        <w:sectPr>
          <w:headerReference r:id="rId9" w:type="default"/>
          <w:footerReference r:id="rId11" w:type="default"/>
          <w:headerReference r:id="rId10" w:type="even"/>
          <w:footerReference r:id="rId12" w:type="even"/>
          <w:pgSz w:w="11906" w:h="16838"/>
          <w:pgMar w:top="567" w:right="1134" w:bottom="1134" w:left="1134" w:header="1418" w:footer="1134" w:gutter="284"/>
          <w:pgNumType w:fmt="upperRoman" w:start="1"/>
          <w:cols w:space="425" w:num="1"/>
          <w:formProt w:val="0"/>
          <w:docGrid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5065B9F5490749B483E66DC34BFCB29D"/>
        </w:placeholder>
      </w:sdtPr>
      <w:sdtContent>
        <w:p>
          <w:pPr>
            <w:pStyle w:val="178"/>
            <w:spacing w:beforeLines="182" w:afterLines="220"/>
          </w:pPr>
          <w:bookmarkStart w:id="21" w:name="NEW_STAND_NAME"/>
          <w:r>
            <w:rPr>
              <w:rFonts w:hint="eastAsia"/>
            </w:rPr>
            <w:t>绿色食品</w:t>
          </w:r>
          <w:r>
            <w:t xml:space="preserve"> 酿酒葡萄桂葡6号生产技术规程</w:t>
          </w:r>
        </w:p>
      </w:sdtContent>
    </w:sdt>
    <w:bookmarkEnd w:id="21"/>
    <w:p>
      <w:pPr>
        <w:pStyle w:val="105"/>
        <w:spacing w:before="240" w:after="240"/>
      </w:pPr>
      <w:bookmarkStart w:id="22" w:name="_Toc26648465"/>
      <w:bookmarkStart w:id="23" w:name="_Toc17233333"/>
      <w:bookmarkStart w:id="24" w:name="_Toc24884211"/>
      <w:bookmarkStart w:id="25" w:name="_Toc26718930"/>
      <w:bookmarkStart w:id="26" w:name="_Toc24884218"/>
      <w:bookmarkStart w:id="27" w:name="_Toc17233325"/>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pPr>
        <w:pStyle w:val="57"/>
        <w:ind w:firstLine="420"/>
      </w:pPr>
      <w:bookmarkStart w:id="30" w:name="_Toc26648466"/>
      <w:bookmarkStart w:id="31" w:name="_Toc24884212"/>
      <w:bookmarkStart w:id="32" w:name="_Toc17233334"/>
      <w:bookmarkStart w:id="33" w:name="_Toc24884219"/>
      <w:bookmarkStart w:id="34" w:name="_Toc17233326"/>
      <w:r>
        <w:rPr>
          <w:rFonts w:hint="eastAsia"/>
        </w:rPr>
        <w:t>本文件确立了绿色食品 酿酒葡萄桂葡6号生产程序，规定了园地选择与规划、架式选择、备耕与定值、整形修剪、果穗管理、肥水管理、病虫害防治、采收等阶段的操作指示，描述了过程记录的追溯方法。</w:t>
      </w:r>
    </w:p>
    <w:p>
      <w:pPr>
        <w:pStyle w:val="57"/>
        <w:ind w:firstLine="420"/>
      </w:pPr>
      <w:r>
        <w:rPr>
          <w:rFonts w:hint="eastAsia"/>
        </w:rPr>
        <w:t>本文件适用于广西行政区域内绿色食品 酿酒葡萄桂葡6号的生产。</w:t>
      </w:r>
    </w:p>
    <w:p>
      <w:pPr>
        <w:pStyle w:val="105"/>
        <w:spacing w:before="240" w:after="240"/>
      </w:pPr>
      <w:bookmarkStart w:id="35" w:name="_Toc26986772"/>
      <w:bookmarkStart w:id="36" w:name="_Toc26718931"/>
      <w:bookmarkStart w:id="37" w:name="_Toc269865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658B4C31E14145CFAE7432C08737815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NY/T 391  绿色食品  产地环境质量</w:t>
      </w:r>
    </w:p>
    <w:p>
      <w:pPr>
        <w:pStyle w:val="57"/>
        <w:ind w:firstLine="420"/>
      </w:pPr>
      <w:r>
        <w:rPr>
          <w:rFonts w:hint="eastAsia"/>
        </w:rPr>
        <w:t>NY/T 393  绿色食品  农药使用准则</w:t>
      </w:r>
    </w:p>
    <w:p>
      <w:pPr>
        <w:pStyle w:val="57"/>
        <w:ind w:firstLine="420"/>
      </w:pPr>
      <w:r>
        <w:rPr>
          <w:rFonts w:hint="eastAsia"/>
        </w:rPr>
        <w:t>NY/T 394  绿色食品  肥料使用准则</w:t>
      </w:r>
    </w:p>
    <w:p>
      <w:pPr>
        <w:pStyle w:val="57"/>
        <w:ind w:firstLine="420"/>
      </w:pPr>
      <w:r>
        <w:rPr>
          <w:rFonts w:hint="eastAsia"/>
        </w:rPr>
        <w:t>NY 469  葡萄苗木</w:t>
      </w:r>
    </w:p>
    <w:p>
      <w:pPr>
        <w:pStyle w:val="57"/>
        <w:ind w:firstLine="420"/>
      </w:pPr>
      <w:r>
        <w:rPr>
          <w:rFonts w:hint="eastAsia"/>
        </w:rPr>
        <w:t>NY/T 658  绿色食品 包装通用准则</w:t>
      </w:r>
    </w:p>
    <w:p>
      <w:pPr>
        <w:pStyle w:val="57"/>
        <w:ind w:firstLine="420"/>
      </w:pPr>
      <w:r>
        <w:rPr>
          <w:rFonts w:hint="eastAsia"/>
        </w:rPr>
        <w:t>NY/T 844  绿色食品  温带水果</w:t>
      </w:r>
    </w:p>
    <w:p>
      <w:pPr>
        <w:pStyle w:val="57"/>
        <w:ind w:firstLine="420"/>
        <w:rPr>
          <w:rFonts w:hAnsi="宋体" w:cs="宋体"/>
        </w:rPr>
      </w:pPr>
      <w:r>
        <w:rPr>
          <w:rFonts w:hint="eastAsia" w:hAnsi="宋体" w:cs="宋体"/>
        </w:rPr>
        <w:t>NY/T 1056  绿色食品  贮藏运输准则</w:t>
      </w:r>
    </w:p>
    <w:p>
      <w:pPr>
        <w:pStyle w:val="57"/>
        <w:ind w:firstLine="420"/>
        <w:rPr>
          <w:rFonts w:hAnsi="宋体" w:cs="宋体"/>
        </w:rPr>
      </w:pPr>
      <w:r>
        <w:rPr>
          <w:rFonts w:hint="eastAsia" w:hAnsi="宋体" w:cs="宋体"/>
        </w:rPr>
        <w:t>T/GXAS 171—2021  桂葡6号葡萄一年两收栽培技术规程</w:t>
      </w:r>
    </w:p>
    <w:p>
      <w:pPr>
        <w:pStyle w:val="105"/>
        <w:spacing w:before="240" w:after="240"/>
      </w:pPr>
      <w:r>
        <w:rPr>
          <w:rFonts w:hint="eastAsia"/>
          <w:szCs w:val="21"/>
        </w:rPr>
        <w:t>术语和定义</w:t>
      </w:r>
    </w:p>
    <w:p>
      <w:pPr>
        <w:pStyle w:val="57"/>
        <w:ind w:firstLine="420"/>
      </w:pPr>
      <w:bookmarkStart w:id="38" w:name="_Toc26986532"/>
      <w:bookmarkEnd w:id="38"/>
      <w:r>
        <w:rPr>
          <w:rFonts w:hint="eastAsia"/>
        </w:rPr>
        <w:t>T/GXAS 171—2021</w:t>
      </w:r>
      <w:sdt>
        <w:sdtPr>
          <w:id w:val="-1909835108"/>
          <w:placeholder>
            <w:docPart w:val="8BBE8F262D6D4B8AA869FE228742CB1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界定的术语和定义适用于本文件。</w:t>
          </w:r>
        </w:sdtContent>
      </w:sdt>
    </w:p>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桂葡6号葡萄  Guipu No.6 grape</w:t>
      </w:r>
    </w:p>
    <w:p>
      <w:pPr>
        <w:pStyle w:val="57"/>
        <w:ind w:firstLine="420"/>
      </w:pPr>
      <w:r>
        <w:rPr>
          <w:rFonts w:hint="eastAsia"/>
        </w:rPr>
        <w:t>源于广西本地收集的野生资源，经驯化筛选出的丰产、优质、抗病性好，适宜酿酒的葡萄品系。</w:t>
      </w:r>
    </w:p>
    <w:p>
      <w:pPr>
        <w:pStyle w:val="57"/>
        <w:ind w:firstLine="420"/>
      </w:pPr>
      <w:r>
        <w:rPr>
          <w:rFonts w:hint="eastAsia"/>
        </w:rPr>
        <w:t>[来源：T/GXAS 171—2021，3.1]</w:t>
      </w:r>
    </w:p>
    <w:p>
      <w:pPr>
        <w:pStyle w:val="105"/>
        <w:spacing w:before="240" w:after="240"/>
      </w:pPr>
      <w:r>
        <w:rPr>
          <w:rFonts w:hint="eastAsia"/>
        </w:rPr>
        <w:t>园地选择与规划</w:t>
      </w:r>
    </w:p>
    <w:p>
      <w:pPr>
        <w:pStyle w:val="106"/>
        <w:spacing w:before="120" w:after="120"/>
        <w:ind w:left="0"/>
      </w:pPr>
      <w:r>
        <w:rPr>
          <w:rFonts w:hint="eastAsia"/>
        </w:rPr>
        <w:t>园地选择</w:t>
      </w:r>
    </w:p>
    <w:p>
      <w:pPr>
        <w:pStyle w:val="66"/>
        <w:spacing w:before="120" w:after="120"/>
      </w:pPr>
      <w:r>
        <w:rPr>
          <w:rFonts w:hint="eastAsia"/>
        </w:rPr>
        <w:t>气候条件</w:t>
      </w:r>
    </w:p>
    <w:p>
      <w:pPr>
        <w:widowControl/>
        <w:adjustRightInd/>
        <w:spacing w:line="240" w:lineRule="auto"/>
        <w:ind w:firstLine="420" w:firstLineChars="200"/>
        <w:jc w:val="left"/>
        <w:outlineLvl w:val="2"/>
        <w:rPr>
          <w:rFonts w:ascii="宋体" w:hAnsi="Times New Roman"/>
          <w:kern w:val="0"/>
          <w:szCs w:val="20"/>
        </w:rPr>
      </w:pPr>
      <w:r>
        <w:rPr>
          <w:rFonts w:hint="eastAsia" w:ascii="宋体" w:hAnsi="Times New Roman"/>
          <w:kern w:val="0"/>
          <w:szCs w:val="20"/>
        </w:rPr>
        <w:t>应选择生长季活动积温大于3</w:t>
      </w:r>
      <w:r>
        <w:rPr>
          <w:rFonts w:hint="eastAsia" w:ascii="宋体" w:hAnsi="Times New Roman"/>
          <w:kern w:val="0"/>
          <w:szCs w:val="20"/>
          <w:vertAlign w:val="superscript"/>
        </w:rPr>
        <w:t xml:space="preserve"> </w:t>
      </w:r>
      <w:r>
        <w:rPr>
          <w:rFonts w:hint="eastAsia" w:ascii="宋体" w:hAnsi="Times New Roman"/>
          <w:kern w:val="0"/>
          <w:szCs w:val="20"/>
        </w:rPr>
        <w:t>100</w:t>
      </w:r>
      <w:r>
        <w:rPr>
          <w:rFonts w:hint="eastAsia" w:ascii="宋体" w:hAnsi="Times New Roman"/>
          <w:kern w:val="0"/>
          <w:szCs w:val="20"/>
          <w:vertAlign w:val="superscript"/>
        </w:rPr>
        <w:t xml:space="preserve"> </w:t>
      </w:r>
      <w:r>
        <w:rPr>
          <w:rFonts w:hint="eastAsia" w:ascii="宋体" w:hAnsi="Times New Roman"/>
          <w:kern w:val="0"/>
          <w:szCs w:val="20"/>
        </w:rPr>
        <w:t>℃，有效积温大于2</w:t>
      </w:r>
      <w:r>
        <w:rPr>
          <w:rFonts w:hint="eastAsia" w:ascii="宋体" w:hAnsi="Times New Roman"/>
          <w:kern w:val="0"/>
          <w:szCs w:val="20"/>
          <w:vertAlign w:val="superscript"/>
        </w:rPr>
        <w:t xml:space="preserve"> </w:t>
      </w:r>
      <w:r>
        <w:rPr>
          <w:rFonts w:hint="eastAsia" w:ascii="宋体" w:hAnsi="Times New Roman"/>
          <w:kern w:val="0"/>
          <w:szCs w:val="20"/>
        </w:rPr>
        <w:t>000</w:t>
      </w:r>
      <w:r>
        <w:rPr>
          <w:rFonts w:hint="eastAsia" w:ascii="宋体" w:hAnsi="Times New Roman"/>
          <w:kern w:val="0"/>
          <w:szCs w:val="20"/>
          <w:vertAlign w:val="superscript"/>
        </w:rPr>
        <w:t xml:space="preserve"> </w:t>
      </w:r>
      <w:r>
        <w:rPr>
          <w:rFonts w:hint="eastAsia" w:ascii="宋体" w:hAnsi="Times New Roman"/>
          <w:kern w:val="0"/>
          <w:szCs w:val="20"/>
        </w:rPr>
        <w:t>℃，生长季日照时数＞500</w:t>
      </w:r>
      <w:r>
        <w:rPr>
          <w:rFonts w:hint="eastAsia" w:ascii="宋体" w:hAnsi="Times New Roman"/>
          <w:kern w:val="0"/>
          <w:szCs w:val="20"/>
          <w:vertAlign w:val="superscript"/>
        </w:rPr>
        <w:t xml:space="preserve"> </w:t>
      </w:r>
      <w:r>
        <w:rPr>
          <w:rFonts w:hint="eastAsia" w:ascii="宋体" w:hAnsi="Times New Roman"/>
          <w:kern w:val="0"/>
          <w:szCs w:val="20"/>
        </w:rPr>
        <w:t>h，降雨量＜700</w:t>
      </w:r>
      <w:r>
        <w:rPr>
          <w:rFonts w:hint="eastAsia" w:ascii="宋体" w:hAnsi="Times New Roman"/>
          <w:kern w:val="0"/>
          <w:szCs w:val="20"/>
          <w:vertAlign w:val="superscript"/>
        </w:rPr>
        <w:t xml:space="preserve"> </w:t>
      </w:r>
      <w:r>
        <w:rPr>
          <w:rFonts w:hint="eastAsia" w:ascii="宋体" w:hAnsi="Times New Roman"/>
          <w:kern w:val="0"/>
          <w:szCs w:val="20"/>
        </w:rPr>
        <w:t>mm,采收当月降雨量＜220</w:t>
      </w:r>
      <w:r>
        <w:rPr>
          <w:rFonts w:hint="eastAsia" w:ascii="宋体" w:hAnsi="Times New Roman"/>
          <w:kern w:val="0"/>
          <w:szCs w:val="20"/>
          <w:vertAlign w:val="superscript"/>
        </w:rPr>
        <w:t xml:space="preserve"> </w:t>
      </w:r>
      <w:r>
        <w:rPr>
          <w:rFonts w:hint="eastAsia" w:ascii="宋体" w:hAnsi="Times New Roman"/>
          <w:kern w:val="0"/>
          <w:szCs w:val="20"/>
        </w:rPr>
        <w:t>mm的生产区域。</w:t>
      </w:r>
    </w:p>
    <w:p>
      <w:pPr>
        <w:pStyle w:val="66"/>
        <w:spacing w:before="120" w:after="120"/>
      </w:pPr>
      <w:r>
        <w:rPr>
          <w:rFonts w:hint="eastAsia"/>
        </w:rPr>
        <w:t>环境条件</w:t>
      </w:r>
    </w:p>
    <w:p>
      <w:pPr>
        <w:widowControl/>
        <w:adjustRightInd/>
        <w:spacing w:line="240" w:lineRule="auto"/>
        <w:ind w:firstLine="420" w:firstLineChars="200"/>
        <w:jc w:val="left"/>
        <w:outlineLvl w:val="2"/>
        <w:rPr>
          <w:rFonts w:ascii="宋体" w:hAnsi="Times New Roman"/>
          <w:color w:val="000000"/>
          <w:kern w:val="0"/>
          <w:szCs w:val="20"/>
        </w:rPr>
      </w:pPr>
      <w:r>
        <w:rPr>
          <w:rFonts w:hint="eastAsia" w:ascii="宋体" w:hAnsi="宋体"/>
          <w:szCs w:val="24"/>
        </w:rPr>
        <w:t>选择在生态条件良好、清洁、无污染、土层深厚、排水良好的砾质壤土、沙质壤土</w:t>
      </w:r>
      <w:r>
        <w:rPr>
          <w:rFonts w:hint="eastAsia" w:ascii="宋体" w:hAnsi="CG Times"/>
          <w:kern w:val="0"/>
          <w:szCs w:val="20"/>
        </w:rPr>
        <w:t>或壤土</w:t>
      </w:r>
      <w:r>
        <w:rPr>
          <w:rFonts w:hint="eastAsia" w:ascii="宋体" w:hAnsi="宋体"/>
          <w:szCs w:val="24"/>
        </w:rPr>
        <w:t>。</w:t>
      </w:r>
      <w:r>
        <w:rPr>
          <w:rFonts w:hint="eastAsia" w:ascii="宋体" w:hAnsi="CG Times"/>
          <w:kern w:val="0"/>
        </w:rPr>
        <w:t>坡度≤15°，平缓开阔，通风良好，地下水位1.0</w:t>
      </w:r>
      <w:r>
        <w:rPr>
          <w:rFonts w:hint="eastAsia" w:ascii="宋体" w:hAnsi="CG Times"/>
          <w:kern w:val="0"/>
          <w:vertAlign w:val="superscript"/>
        </w:rPr>
        <w:t xml:space="preserve"> </w:t>
      </w:r>
      <w:r>
        <w:rPr>
          <w:rFonts w:hint="eastAsia" w:ascii="宋体" w:hAnsi="CG Times"/>
          <w:kern w:val="0"/>
        </w:rPr>
        <w:t>m以下，</w:t>
      </w:r>
      <w:r>
        <w:rPr>
          <w:rFonts w:hint="eastAsia" w:ascii="宋体" w:hAnsi="宋体"/>
          <w:szCs w:val="24"/>
        </w:rPr>
        <w:t>其他环境条件应符合NY/T 391的要求</w:t>
      </w:r>
      <w:r>
        <w:rPr>
          <w:rFonts w:hint="eastAsia" w:ascii="宋体" w:hAnsi="CG Times"/>
          <w:kern w:val="0"/>
        </w:rPr>
        <w:t>。</w:t>
      </w:r>
    </w:p>
    <w:p>
      <w:pPr>
        <w:pStyle w:val="106"/>
        <w:spacing w:before="120" w:after="120"/>
        <w:ind w:left="0"/>
      </w:pPr>
      <w:r>
        <w:rPr>
          <w:rFonts w:hint="eastAsia"/>
        </w:rPr>
        <w:t>园地规划</w:t>
      </w:r>
    </w:p>
    <w:p>
      <w:pPr>
        <w:widowControl/>
        <w:adjustRightInd/>
        <w:spacing w:line="240" w:lineRule="auto"/>
        <w:ind w:firstLine="420" w:firstLineChars="200"/>
        <w:jc w:val="left"/>
        <w:outlineLvl w:val="2"/>
        <w:rPr>
          <w:rFonts w:ascii="宋体" w:hAnsi="宋体"/>
          <w:color w:val="000000"/>
          <w:kern w:val="0"/>
          <w:szCs w:val="20"/>
        </w:rPr>
      </w:pPr>
      <w:r>
        <w:rPr>
          <w:rFonts w:hint="eastAsia" w:ascii="宋体" w:hAnsi="宋体"/>
        </w:rPr>
        <w:t>应符合T/GXAS 171的要求。</w:t>
      </w:r>
    </w:p>
    <w:p>
      <w:pPr>
        <w:pStyle w:val="105"/>
        <w:spacing w:before="240" w:after="240"/>
      </w:pPr>
      <w:r>
        <w:rPr>
          <w:rFonts w:hint="eastAsia"/>
        </w:rPr>
        <w:t>架式选择</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宜采用避雨栽培模式，可选择“T”形高宽垂平棚架或“V”形篱架，避雨棚高3.0</w:t>
      </w:r>
      <w:r>
        <w:rPr>
          <w:rFonts w:hint="eastAsia" w:ascii="宋体" w:hAnsi="Times New Roman"/>
          <w:kern w:val="0"/>
          <w:szCs w:val="20"/>
          <w:vertAlign w:val="subscript"/>
        </w:rPr>
        <w:t xml:space="preserve"> </w:t>
      </w:r>
      <w:r>
        <w:rPr>
          <w:rFonts w:hint="eastAsia" w:ascii="宋体" w:hAnsi="Times New Roman"/>
          <w:kern w:val="0"/>
          <w:szCs w:val="20"/>
        </w:rPr>
        <w:t>m、宽2.8</w:t>
      </w:r>
      <w:r>
        <w:rPr>
          <w:rFonts w:hint="eastAsia" w:ascii="宋体" w:hAnsi="Times New Roman"/>
          <w:kern w:val="0"/>
          <w:szCs w:val="20"/>
          <w:vertAlign w:val="subscript"/>
        </w:rPr>
        <w:t xml:space="preserve"> </w:t>
      </w:r>
      <w:r>
        <w:rPr>
          <w:rFonts w:hint="eastAsia" w:ascii="宋体" w:hAnsi="Times New Roman"/>
          <w:kern w:val="0"/>
          <w:szCs w:val="20"/>
        </w:rPr>
        <w:t>m。</w:t>
      </w:r>
    </w:p>
    <w:p>
      <w:pPr>
        <w:pStyle w:val="105"/>
        <w:spacing w:before="240" w:after="240"/>
      </w:pPr>
      <w:r>
        <w:rPr>
          <w:rFonts w:hint="eastAsia"/>
        </w:rPr>
        <w:t>苗木质量</w:t>
      </w:r>
    </w:p>
    <w:p>
      <w:pPr>
        <w:widowControl/>
        <w:tabs>
          <w:tab w:val="center" w:pos="4201"/>
          <w:tab w:val="right" w:leader="dot" w:pos="9298"/>
        </w:tabs>
        <w:autoSpaceDE w:val="0"/>
        <w:autoSpaceDN w:val="0"/>
        <w:adjustRightInd/>
        <w:spacing w:line="240" w:lineRule="auto"/>
        <w:ind w:firstLine="420" w:firstLineChars="200"/>
        <w:rPr>
          <w:rFonts w:ascii="宋体" w:hAnsi="CG Times"/>
          <w:kern w:val="0"/>
          <w:szCs w:val="20"/>
        </w:rPr>
      </w:pPr>
      <w:r>
        <w:rPr>
          <w:rFonts w:hint="eastAsia" w:ascii="宋体" w:hAnsi="CG Times"/>
          <w:kern w:val="0"/>
          <w:szCs w:val="20"/>
        </w:rPr>
        <w:t>应符合NY 469的要求，宜选择根系发达、生长健壮、无病虫害的脱毒健康种苗。</w:t>
      </w:r>
    </w:p>
    <w:p>
      <w:pPr>
        <w:pStyle w:val="105"/>
        <w:spacing w:before="240" w:after="240"/>
      </w:pPr>
      <w:r>
        <w:rPr>
          <w:rFonts w:hint="eastAsia"/>
        </w:rPr>
        <w:t>定植</w:t>
      </w:r>
    </w:p>
    <w:p>
      <w:pPr>
        <w:pStyle w:val="166"/>
        <w:numPr>
          <w:ilvl w:val="3"/>
          <w:numId w:val="0"/>
        </w:numPr>
        <w:ind w:firstLine="420" w:firstLineChars="200"/>
        <w:rPr>
          <w:rFonts w:hAnsi="宋体"/>
        </w:rPr>
      </w:pPr>
      <w:r>
        <w:rPr>
          <w:rFonts w:hint="eastAsia" w:hAnsi="宋体"/>
        </w:rPr>
        <w:t>应符合T/GXAS 171的要求。</w:t>
      </w:r>
    </w:p>
    <w:p>
      <w:pPr>
        <w:pStyle w:val="105"/>
        <w:spacing w:before="240" w:after="240"/>
      </w:pPr>
      <w:r>
        <w:rPr>
          <w:rFonts w:hint="eastAsia"/>
        </w:rPr>
        <w:t>土肥水管理</w:t>
      </w:r>
    </w:p>
    <w:p>
      <w:pPr>
        <w:pStyle w:val="106"/>
        <w:spacing w:before="120" w:after="120"/>
        <w:ind w:left="0"/>
      </w:pPr>
      <w:r>
        <w:rPr>
          <w:rFonts w:hint="eastAsia"/>
        </w:rPr>
        <w:t>土壤管理</w:t>
      </w:r>
    </w:p>
    <w:p>
      <w:pPr>
        <w:widowControl/>
        <w:adjustRightInd/>
        <w:spacing w:line="240" w:lineRule="auto"/>
        <w:ind w:firstLine="420" w:firstLineChars="200"/>
        <w:jc w:val="left"/>
        <w:outlineLvl w:val="4"/>
        <w:rPr>
          <w:rFonts w:ascii="宋体" w:hAnsi="CG Times"/>
          <w:kern w:val="0"/>
        </w:rPr>
      </w:pPr>
      <w:r>
        <w:rPr>
          <w:rFonts w:hint="eastAsia" w:ascii="宋体" w:hAnsi="CG Times"/>
          <w:kern w:val="0"/>
        </w:rPr>
        <w:t>少雨地区在葡萄行和株间进行多次中耕除草。</w:t>
      </w:r>
    </w:p>
    <w:p>
      <w:pPr>
        <w:pStyle w:val="106"/>
        <w:spacing w:before="120" w:after="120"/>
        <w:ind w:left="0"/>
      </w:pPr>
      <w:r>
        <w:rPr>
          <w:rFonts w:hint="eastAsia"/>
        </w:rPr>
        <w:t>施肥管理</w:t>
      </w:r>
    </w:p>
    <w:p>
      <w:pPr>
        <w:pStyle w:val="66"/>
        <w:spacing w:before="120" w:after="120"/>
      </w:pPr>
      <w:r>
        <w:rPr>
          <w:rFonts w:hint="eastAsia"/>
        </w:rPr>
        <w:t>施肥原则</w:t>
      </w:r>
    </w:p>
    <w:p>
      <w:pPr>
        <w:widowControl/>
        <w:tabs>
          <w:tab w:val="center" w:pos="4201"/>
          <w:tab w:val="right" w:leader="dot" w:pos="9298"/>
        </w:tabs>
        <w:autoSpaceDE w:val="0"/>
        <w:autoSpaceDN w:val="0"/>
        <w:adjustRightInd/>
        <w:spacing w:line="240" w:lineRule="auto"/>
        <w:ind w:firstLine="420" w:firstLineChars="200"/>
        <w:rPr>
          <w:rFonts w:ascii="宋体" w:hAnsi="CG Times"/>
          <w:kern w:val="0"/>
          <w:szCs w:val="20"/>
          <w:highlight w:val="yellow"/>
        </w:rPr>
      </w:pPr>
      <w:r>
        <w:rPr>
          <w:rFonts w:hint="eastAsia" w:ascii="宋体" w:hAnsi="CG Times"/>
          <w:kern w:val="0"/>
          <w:szCs w:val="20"/>
        </w:rPr>
        <w:t>按照NY/T 394的规定执行。根据葡萄的需肥规律进行平衡施肥，以有机肥为主，化肥为辅。亦可根据土壤和叶片分析结果进行营养诊断施肥。</w:t>
      </w:r>
    </w:p>
    <w:p>
      <w:pPr>
        <w:pStyle w:val="66"/>
        <w:spacing w:before="120" w:after="120"/>
      </w:pPr>
      <w:r>
        <w:rPr>
          <w:rFonts w:hint="eastAsia"/>
        </w:rPr>
        <w:t>基肥</w:t>
      </w:r>
    </w:p>
    <w:p>
      <w:pPr>
        <w:pStyle w:val="165"/>
        <w:rPr>
          <w:rFonts w:hAnsi="CG Times"/>
          <w:szCs w:val="22"/>
        </w:rPr>
      </w:pPr>
      <w:r>
        <w:rPr>
          <w:rFonts w:hint="eastAsia" w:hAnsi="CG Times"/>
          <w:szCs w:val="22"/>
        </w:rPr>
        <w:t>幼苗定植后，前期以保根肥灌根，10</w:t>
      </w:r>
      <w:r>
        <w:rPr>
          <w:rFonts w:hint="eastAsia" w:hAnsi="CG Times"/>
          <w:szCs w:val="22"/>
          <w:vertAlign w:val="superscript"/>
        </w:rPr>
        <w:t xml:space="preserve"> </w:t>
      </w:r>
      <w:r>
        <w:rPr>
          <w:rFonts w:hint="eastAsia" w:hAnsi="CG Times"/>
          <w:szCs w:val="22"/>
        </w:rPr>
        <w:t>d～15</w:t>
      </w:r>
      <w:r>
        <w:rPr>
          <w:rFonts w:hint="eastAsia" w:hAnsi="CG Times"/>
          <w:szCs w:val="22"/>
          <w:vertAlign w:val="superscript"/>
        </w:rPr>
        <w:t xml:space="preserve"> </w:t>
      </w:r>
      <w:r>
        <w:rPr>
          <w:rFonts w:hint="eastAsia" w:hAnsi="CG Times"/>
          <w:szCs w:val="22"/>
        </w:rPr>
        <w:t>d灌根1次。后期以水溶性肥灌根。</w:t>
      </w:r>
    </w:p>
    <w:p>
      <w:pPr>
        <w:pStyle w:val="165"/>
        <w:rPr>
          <w:rFonts w:hAnsi="CG Times"/>
        </w:rPr>
      </w:pPr>
      <w:r>
        <w:rPr>
          <w:rFonts w:hint="eastAsia" w:hAnsi="CG Times"/>
        </w:rPr>
        <w:t>种植当年及之后</w:t>
      </w:r>
      <w:r>
        <w:rPr>
          <w:rFonts w:hint="eastAsia"/>
          <w:szCs w:val="22"/>
        </w:rPr>
        <w:t>每年</w:t>
      </w:r>
      <w:r>
        <w:rPr>
          <w:rFonts w:hint="eastAsia" w:hAnsi="CG Times"/>
        </w:rPr>
        <w:t>冬季每hm</w:t>
      </w:r>
      <w:r>
        <w:rPr>
          <w:rFonts w:hint="eastAsia" w:hAnsi="CG Times"/>
          <w:vertAlign w:val="superscript"/>
        </w:rPr>
        <w:t xml:space="preserve"> 2 </w:t>
      </w:r>
      <w:r>
        <w:rPr>
          <w:rFonts w:hint="eastAsia" w:hAnsi="CG Times"/>
        </w:rPr>
        <w:t>施有机肥15</w:t>
      </w:r>
      <w:r>
        <w:rPr>
          <w:rFonts w:hint="eastAsia" w:hAnsi="CG Times"/>
          <w:vertAlign w:val="superscript"/>
        </w:rPr>
        <w:t xml:space="preserve"> </w:t>
      </w:r>
      <w:r>
        <w:rPr>
          <w:rFonts w:hint="eastAsia" w:hAnsi="CG Times"/>
        </w:rPr>
        <w:t>t。第2年开始整个生长季施肥3次，具体要求如下：</w:t>
      </w:r>
    </w:p>
    <w:p>
      <w:pPr>
        <w:pStyle w:val="133"/>
        <w:rPr>
          <w:szCs w:val="22"/>
        </w:rPr>
      </w:pPr>
      <w:r>
        <w:rPr>
          <w:rFonts w:hint="eastAsia" w:hAnsi="CG Times"/>
        </w:rPr>
        <w:t>第</w:t>
      </w:r>
      <w:r>
        <w:rPr>
          <w:rFonts w:hint="eastAsia"/>
          <w:szCs w:val="22"/>
        </w:rPr>
        <w:t>1次为萌芽肥，在春节萌芽前用水溶性有机肥灌根；</w:t>
      </w:r>
    </w:p>
    <w:p>
      <w:pPr>
        <w:pStyle w:val="133"/>
        <w:rPr>
          <w:szCs w:val="22"/>
        </w:rPr>
      </w:pPr>
      <w:r>
        <w:rPr>
          <w:rFonts w:hint="eastAsia"/>
          <w:szCs w:val="22"/>
        </w:rPr>
        <w:t>第2次为膨果肥，在果实膨大初期（果粒如黄豆大小时）根施硫酸钾300</w:t>
      </w:r>
      <w:r>
        <w:rPr>
          <w:rFonts w:hint="eastAsia"/>
          <w:szCs w:val="22"/>
          <w:vertAlign w:val="superscript"/>
        </w:rPr>
        <w:t xml:space="preserve"> </w:t>
      </w:r>
      <w:r>
        <w:rPr>
          <w:rFonts w:hint="eastAsia"/>
          <w:szCs w:val="22"/>
        </w:rPr>
        <w:t>kg/hm</w:t>
      </w:r>
      <w:r>
        <w:rPr>
          <w:rFonts w:hint="eastAsia"/>
          <w:szCs w:val="22"/>
          <w:vertAlign w:val="superscript"/>
        </w:rPr>
        <w:t>2</w:t>
      </w:r>
      <w:r>
        <w:rPr>
          <w:rFonts w:hint="eastAsia"/>
          <w:szCs w:val="22"/>
        </w:rPr>
        <w:t>；</w:t>
      </w:r>
    </w:p>
    <w:p>
      <w:pPr>
        <w:pStyle w:val="133"/>
        <w:rPr>
          <w:szCs w:val="22"/>
        </w:rPr>
      </w:pPr>
      <w:r>
        <w:rPr>
          <w:rFonts w:hint="eastAsia"/>
          <w:szCs w:val="22"/>
        </w:rPr>
        <w:t>第3次为转色肥，在果实转色初期（每穗果5%果粒转色）根施磷酸二氢钾150</w:t>
      </w:r>
      <w:r>
        <w:rPr>
          <w:rFonts w:hint="eastAsia"/>
          <w:szCs w:val="22"/>
          <w:vertAlign w:val="superscript"/>
        </w:rPr>
        <w:t xml:space="preserve"> </w:t>
      </w:r>
      <w:r>
        <w:rPr>
          <w:rFonts w:hint="eastAsia"/>
          <w:szCs w:val="22"/>
        </w:rPr>
        <w:t>kg/hm</w:t>
      </w:r>
      <w:r>
        <w:rPr>
          <w:rFonts w:hint="eastAsia"/>
          <w:szCs w:val="22"/>
          <w:vertAlign w:val="superscript"/>
        </w:rPr>
        <w:t>2</w:t>
      </w:r>
      <w:r>
        <w:rPr>
          <w:rFonts w:hint="eastAsia"/>
          <w:szCs w:val="22"/>
        </w:rPr>
        <w:t>，同时喷施1次0.2%磷酸二氢钾。</w:t>
      </w:r>
    </w:p>
    <w:p>
      <w:pPr>
        <w:pStyle w:val="106"/>
        <w:spacing w:before="120" w:after="120"/>
        <w:ind w:left="0"/>
      </w:pPr>
      <w:r>
        <w:rPr>
          <w:rFonts w:hint="eastAsia"/>
        </w:rPr>
        <w:t xml:space="preserve">水分管理 </w:t>
      </w:r>
    </w:p>
    <w:p>
      <w:pPr>
        <w:widowControl/>
        <w:adjustRightInd/>
        <w:spacing w:line="240" w:lineRule="auto"/>
        <w:ind w:firstLine="420" w:firstLineChars="200"/>
        <w:outlineLvl w:val="1"/>
        <w:rPr>
          <w:rFonts w:ascii="黑体" w:hAnsi="CG Times" w:eastAsia="黑体"/>
          <w:color w:val="FF0000"/>
          <w:kern w:val="0"/>
          <w:szCs w:val="20"/>
        </w:rPr>
      </w:pPr>
      <w:r>
        <w:rPr>
          <w:rFonts w:hint="eastAsia" w:ascii="宋体" w:hAnsi="宋体"/>
          <w:kern w:val="0"/>
          <w:szCs w:val="20"/>
        </w:rPr>
        <w:t>总体实行“前促后控”的灌水原则。两季果栽培管理期间均在萌芽期、始花前后、果实膨大期结合施肥灌水，转色至成熟期严格控制灌水，使土壤</w:t>
      </w:r>
      <w:r>
        <w:rPr>
          <w:rFonts w:ascii="宋体" w:hAnsi="宋体"/>
          <w:kern w:val="0"/>
          <w:szCs w:val="20"/>
        </w:rPr>
        <w:t>保持一定的干燥</w:t>
      </w:r>
      <w:r>
        <w:rPr>
          <w:rFonts w:hint="eastAsia" w:ascii="宋体" w:hAnsi="宋体"/>
          <w:kern w:val="0"/>
          <w:szCs w:val="20"/>
        </w:rPr>
        <w:t>。种植期间注意排水防渍。</w:t>
      </w:r>
    </w:p>
    <w:p>
      <w:pPr>
        <w:pStyle w:val="105"/>
        <w:spacing w:before="240" w:after="240"/>
      </w:pPr>
      <w:r>
        <w:rPr>
          <w:rFonts w:hint="eastAsia"/>
        </w:rPr>
        <w:t>整形修剪</w:t>
      </w:r>
    </w:p>
    <w:p>
      <w:pPr>
        <w:pStyle w:val="106"/>
        <w:spacing w:before="120" w:after="120"/>
        <w:ind w:left="0"/>
        <w:rPr>
          <w:szCs w:val="22"/>
        </w:rPr>
      </w:pPr>
      <w:r>
        <w:rPr>
          <w:rFonts w:hint="eastAsia"/>
          <w:szCs w:val="22"/>
        </w:rPr>
        <w:t>定型与修剪</w:t>
      </w:r>
    </w:p>
    <w:p>
      <w:pPr>
        <w:pStyle w:val="66"/>
        <w:spacing w:before="120" w:after="120"/>
      </w:pPr>
      <w:r>
        <w:rPr>
          <w:rFonts w:hint="eastAsia"/>
        </w:rPr>
        <w:t>“T”形高宽垂平棚架式</w:t>
      </w:r>
    </w:p>
    <w:p>
      <w:pPr>
        <w:pStyle w:val="57"/>
        <w:ind w:firstLine="420"/>
      </w:pPr>
      <w:r>
        <w:rPr>
          <w:rFonts w:hint="eastAsia"/>
        </w:rPr>
        <w:t>架高为1.8</w:t>
      </w:r>
      <w:r>
        <w:rPr>
          <w:rFonts w:hint="eastAsia"/>
          <w:vertAlign w:val="superscript"/>
        </w:rPr>
        <w:t xml:space="preserve"> </w:t>
      </w:r>
      <w:r>
        <w:rPr>
          <w:rFonts w:hint="eastAsia"/>
        </w:rPr>
        <w:t>m。定型修剪具体操作如下：</w:t>
      </w:r>
    </w:p>
    <w:p>
      <w:pPr>
        <w:pStyle w:val="133"/>
        <w:rPr>
          <w:rFonts w:hAnsi="CG Times"/>
          <w:szCs w:val="22"/>
        </w:rPr>
      </w:pPr>
      <w:r>
        <w:rPr>
          <w:rFonts w:hint="eastAsia" w:hAnsi="CG Times"/>
          <w:szCs w:val="22"/>
        </w:rPr>
        <w:t>第1年葡萄苗长至1.6</w:t>
      </w:r>
      <w:r>
        <w:rPr>
          <w:rFonts w:hint="eastAsia" w:hAnsi="CG Times"/>
          <w:szCs w:val="22"/>
          <w:vertAlign w:val="superscript"/>
        </w:rPr>
        <w:t xml:space="preserve"> </w:t>
      </w:r>
      <w:r>
        <w:rPr>
          <w:rFonts w:hint="eastAsia" w:hAnsi="CG Times"/>
          <w:szCs w:val="22"/>
        </w:rPr>
        <w:t>m时摘心，选留2条主蔓南北向牵引，形成南北T形，培养主蔓粗度达1.0</w:t>
      </w:r>
      <w:r>
        <w:rPr>
          <w:rFonts w:hint="eastAsia" w:hAnsi="CG Times"/>
          <w:szCs w:val="22"/>
          <w:vertAlign w:val="superscript"/>
        </w:rPr>
        <w:t xml:space="preserve"> </w:t>
      </w:r>
      <w:r>
        <w:rPr>
          <w:rFonts w:hint="eastAsia" w:hAnsi="CG Times"/>
          <w:szCs w:val="22"/>
        </w:rPr>
        <w:t>cm以上；</w:t>
      </w:r>
    </w:p>
    <w:p>
      <w:pPr>
        <w:pStyle w:val="133"/>
        <w:rPr>
          <w:rFonts w:hAnsi="CG Times"/>
          <w:szCs w:val="22"/>
        </w:rPr>
      </w:pPr>
      <w:r>
        <w:rPr>
          <w:rFonts w:hint="eastAsia" w:hAnsi="CG Times"/>
          <w:szCs w:val="22"/>
        </w:rPr>
        <w:t>第2年即第1次结果可用主蔓作为结果母枝，春季新梢向东西方向绑缚，按每20</w:t>
      </w:r>
      <w:r>
        <w:rPr>
          <w:rFonts w:hint="eastAsia" w:hAnsi="CG Times"/>
          <w:szCs w:val="22"/>
          <w:vertAlign w:val="superscript"/>
        </w:rPr>
        <w:t xml:space="preserve"> </w:t>
      </w:r>
      <w:r>
        <w:rPr>
          <w:rFonts w:hint="eastAsia" w:hAnsi="CG Times"/>
          <w:szCs w:val="22"/>
        </w:rPr>
        <w:t>cm距离绑缚1条，其余的新捎抹除；</w:t>
      </w:r>
    </w:p>
    <w:p>
      <w:pPr>
        <w:pStyle w:val="133"/>
        <w:rPr>
          <w:rFonts w:hAnsi="CG Times"/>
          <w:szCs w:val="22"/>
        </w:rPr>
      </w:pPr>
      <w:r>
        <w:rPr>
          <w:rFonts w:hint="eastAsia" w:hAnsi="CG Times"/>
          <w:szCs w:val="22"/>
        </w:rPr>
        <w:t>第3年开始用第2年结果枝作为结果母枝，冬季修剪留1～2个芽短剪。</w:t>
      </w:r>
    </w:p>
    <w:p>
      <w:pPr>
        <w:pStyle w:val="66"/>
        <w:spacing w:before="120" w:after="120"/>
      </w:pPr>
      <w:r>
        <w:rPr>
          <w:rFonts w:hint="eastAsia"/>
        </w:rPr>
        <w:t>“V”形篱架</w:t>
      </w:r>
    </w:p>
    <w:p>
      <w:pPr>
        <w:pStyle w:val="57"/>
        <w:ind w:firstLine="420"/>
      </w:pPr>
      <w:r>
        <w:rPr>
          <w:rFonts w:hint="eastAsia"/>
        </w:rPr>
        <w:t>以单杆干双臂为主，主干高度1.0</w:t>
      </w:r>
      <w:r>
        <w:rPr>
          <w:rFonts w:hint="eastAsia"/>
          <w:vertAlign w:val="superscript"/>
        </w:rPr>
        <w:t xml:space="preserve"> </w:t>
      </w:r>
      <w:r>
        <w:rPr>
          <w:rFonts w:hint="eastAsia"/>
        </w:rPr>
        <w:t>m。定型修剪具体操作如下：</w:t>
      </w:r>
    </w:p>
    <w:p>
      <w:pPr>
        <w:pStyle w:val="133"/>
        <w:rPr>
          <w:rFonts w:hAnsi="CG Times"/>
          <w:szCs w:val="22"/>
        </w:rPr>
      </w:pPr>
      <w:r>
        <w:rPr>
          <w:rFonts w:hint="eastAsia" w:hAnsi="CG Times"/>
          <w:szCs w:val="22"/>
        </w:rPr>
        <w:t>当年培养2条粗度在0.7</w:t>
      </w:r>
      <w:r>
        <w:rPr>
          <w:rFonts w:hint="eastAsia" w:hAnsi="CG Times"/>
          <w:szCs w:val="22"/>
          <w:vertAlign w:val="superscript"/>
        </w:rPr>
        <w:t xml:space="preserve"> </w:t>
      </w:r>
      <w:r>
        <w:rPr>
          <w:rFonts w:hint="eastAsia" w:hAnsi="CG Times"/>
          <w:szCs w:val="22"/>
        </w:rPr>
        <w:t>cm以上的枝条作为结果母枝，种植第1年当新梢长至50</w:t>
      </w:r>
      <w:r>
        <w:rPr>
          <w:rFonts w:hint="eastAsia" w:hAnsi="CG Times"/>
          <w:szCs w:val="22"/>
          <w:vertAlign w:val="subscript"/>
        </w:rPr>
        <w:t xml:space="preserve"> </w:t>
      </w:r>
      <w:r>
        <w:rPr>
          <w:rFonts w:hint="eastAsia" w:hAnsi="CG Times"/>
          <w:szCs w:val="22"/>
        </w:rPr>
        <w:t>cm时摘心；</w:t>
      </w:r>
    </w:p>
    <w:p>
      <w:pPr>
        <w:pStyle w:val="133"/>
        <w:rPr>
          <w:rFonts w:hAnsi="CG Times"/>
          <w:szCs w:val="22"/>
        </w:rPr>
      </w:pPr>
      <w:r>
        <w:rPr>
          <w:rFonts w:hint="eastAsia" w:hAnsi="CG Times"/>
          <w:szCs w:val="22"/>
        </w:rPr>
        <w:t>第2年以后冬季修剪留2～3个芽短剪，剪口剪至芽结节处；</w:t>
      </w:r>
    </w:p>
    <w:p>
      <w:pPr>
        <w:pStyle w:val="133"/>
        <w:rPr>
          <w:rFonts w:hAnsi="CG Times"/>
          <w:szCs w:val="22"/>
        </w:rPr>
      </w:pPr>
      <w:r>
        <w:rPr>
          <w:rFonts w:hint="eastAsia" w:hAnsi="CG Times"/>
          <w:szCs w:val="22"/>
        </w:rPr>
        <w:t>每年对近主干的芽进行刻伤，以替换结果位置外移的结果母枝；</w:t>
      </w:r>
    </w:p>
    <w:p>
      <w:pPr>
        <w:pStyle w:val="133"/>
        <w:rPr>
          <w:rFonts w:hAnsi="CG Times"/>
          <w:szCs w:val="22"/>
        </w:rPr>
      </w:pPr>
      <w:r>
        <w:rPr>
          <w:rFonts w:hint="eastAsia" w:hAnsi="CG Times"/>
          <w:szCs w:val="22"/>
        </w:rPr>
        <w:t>春季萌芽后新梢长20</w:t>
      </w:r>
      <w:r>
        <w:rPr>
          <w:rFonts w:hint="eastAsia" w:hAnsi="CG Times"/>
          <w:szCs w:val="22"/>
          <w:vertAlign w:val="superscript"/>
        </w:rPr>
        <w:t xml:space="preserve"> </w:t>
      </w:r>
      <w:r>
        <w:rPr>
          <w:rFonts w:hint="eastAsia" w:hAnsi="CG Times"/>
          <w:szCs w:val="22"/>
        </w:rPr>
        <w:t>cm～30</w:t>
      </w:r>
      <w:r>
        <w:rPr>
          <w:rFonts w:hint="eastAsia" w:hAnsi="CG Times"/>
          <w:szCs w:val="22"/>
          <w:vertAlign w:val="superscript"/>
        </w:rPr>
        <w:t xml:space="preserve"> </w:t>
      </w:r>
      <w:r>
        <w:rPr>
          <w:rFonts w:hint="eastAsia" w:hAnsi="CG Times"/>
          <w:szCs w:val="22"/>
        </w:rPr>
        <w:t>cm时，按每20</w:t>
      </w:r>
      <w:r>
        <w:rPr>
          <w:rFonts w:hint="eastAsia" w:hAnsi="CG Times"/>
          <w:szCs w:val="22"/>
          <w:vertAlign w:val="superscript"/>
        </w:rPr>
        <w:t xml:space="preserve"> </w:t>
      </w:r>
      <w:r>
        <w:rPr>
          <w:rFonts w:hint="eastAsia" w:hAnsi="CG Times"/>
          <w:szCs w:val="22"/>
        </w:rPr>
        <w:t>cm 1条及时均匀引缚于架面上，其余全部抹除；</w:t>
      </w:r>
    </w:p>
    <w:p>
      <w:pPr>
        <w:pStyle w:val="133"/>
        <w:rPr>
          <w:rFonts w:hAnsi="CG Times"/>
          <w:szCs w:val="22"/>
        </w:rPr>
      </w:pPr>
      <w:r>
        <w:rPr>
          <w:rFonts w:hint="eastAsia" w:hAnsi="CG Times"/>
          <w:szCs w:val="22"/>
        </w:rPr>
        <w:t>果实转色时可适当摘除遮挡果实的叶片。</w:t>
      </w:r>
    </w:p>
    <w:p>
      <w:pPr>
        <w:pStyle w:val="106"/>
        <w:spacing w:before="120" w:after="120"/>
        <w:ind w:left="0"/>
        <w:rPr>
          <w:bCs/>
        </w:rPr>
      </w:pPr>
      <w:r>
        <w:rPr>
          <w:rFonts w:hint="eastAsia"/>
          <w:bCs/>
        </w:rPr>
        <w:t>催芽</w:t>
      </w:r>
    </w:p>
    <w:p>
      <w:pPr>
        <w:pStyle w:val="57"/>
        <w:ind w:firstLine="420"/>
      </w:pPr>
      <w:r>
        <w:rPr>
          <w:rFonts w:hint="eastAsia"/>
        </w:rPr>
        <w:t>2月上、中旬当日均温超过10</w:t>
      </w:r>
      <w:r>
        <w:rPr>
          <w:rFonts w:hint="eastAsia"/>
          <w:vertAlign w:val="superscript"/>
        </w:rPr>
        <w:t xml:space="preserve"> </w:t>
      </w:r>
      <w:r>
        <w:rPr>
          <w:rFonts w:hint="eastAsia"/>
        </w:rPr>
        <w:t>℃时催芽，用50%单氰胺20或30倍液加胭脂红（标记）人工喷施芽眼（顶芽不喷），催芽后充分灌水。8月中旬夏季修剪后，用同样的药剂30倍液点湿剪口下第1个芽。催芽后经常灌水确保土壤湿润。</w:t>
      </w:r>
    </w:p>
    <w:p>
      <w:pPr>
        <w:pStyle w:val="105"/>
        <w:spacing w:before="240" w:after="240"/>
      </w:pPr>
      <w:r>
        <w:rPr>
          <w:rFonts w:hint="eastAsia"/>
        </w:rPr>
        <w:t>果穗管理</w:t>
      </w:r>
    </w:p>
    <w:p>
      <w:pPr>
        <w:pStyle w:val="106"/>
        <w:tabs>
          <w:tab w:val="left" w:pos="142"/>
        </w:tabs>
        <w:spacing w:before="120" w:after="120"/>
        <w:ind w:left="0"/>
      </w:pPr>
      <w:r>
        <w:rPr>
          <w:rFonts w:hint="eastAsia"/>
        </w:rPr>
        <w:t>花穗管理</w:t>
      </w:r>
    </w:p>
    <w:p>
      <w:pPr>
        <w:widowControl/>
        <w:tabs>
          <w:tab w:val="center" w:pos="4201"/>
          <w:tab w:val="right" w:leader="dot" w:pos="9298"/>
        </w:tabs>
        <w:autoSpaceDE w:val="0"/>
        <w:autoSpaceDN w:val="0"/>
        <w:adjustRightInd/>
        <w:spacing w:line="240" w:lineRule="auto"/>
        <w:ind w:firstLine="420" w:firstLineChars="200"/>
        <w:rPr>
          <w:rFonts w:ascii="宋体" w:hAnsi="CG Times"/>
          <w:kern w:val="0"/>
          <w:szCs w:val="20"/>
        </w:rPr>
      </w:pPr>
      <w:r>
        <w:rPr>
          <w:rFonts w:hint="eastAsia" w:ascii="宋体" w:hAnsi="CG Times"/>
          <w:kern w:val="0"/>
          <w:szCs w:val="20"/>
        </w:rPr>
        <w:t>花序分离时进行疏花，强枝留两穗，中庸枝留一穗。</w:t>
      </w:r>
    </w:p>
    <w:p>
      <w:pPr>
        <w:pStyle w:val="106"/>
        <w:spacing w:before="120" w:after="120"/>
        <w:ind w:left="0"/>
      </w:pPr>
      <w:r>
        <w:rPr>
          <w:rFonts w:hint="eastAsia"/>
        </w:rPr>
        <w:t>疏果定穗</w:t>
      </w:r>
    </w:p>
    <w:p>
      <w:pPr>
        <w:widowControl/>
        <w:adjustRightInd/>
        <w:spacing w:line="240" w:lineRule="auto"/>
        <w:ind w:firstLine="420" w:firstLineChars="200"/>
        <w:outlineLvl w:val="1"/>
        <w:rPr>
          <w:rFonts w:ascii="宋体" w:hAnsi="宋体"/>
          <w:kern w:val="0"/>
          <w:szCs w:val="20"/>
        </w:rPr>
      </w:pPr>
      <w:r>
        <w:rPr>
          <w:rFonts w:hint="eastAsia" w:ascii="宋体" w:hAnsi="CG Times"/>
          <w:kern w:val="0"/>
          <w:szCs w:val="20"/>
        </w:rPr>
        <w:t>坐果后至黄豆粒大小时，及时去除病穗及畸形弱小穗，每667</w:t>
      </w:r>
      <w:r>
        <w:rPr>
          <w:rFonts w:hint="eastAsia" w:ascii="宋体" w:hAnsi="CG Times"/>
          <w:kern w:val="0"/>
          <w:szCs w:val="20"/>
          <w:vertAlign w:val="superscript"/>
        </w:rPr>
        <w:t xml:space="preserve"> </w:t>
      </w:r>
      <w:r>
        <w:rPr>
          <w:rFonts w:hint="eastAsia" w:ascii="宋体" w:hAnsi="CG Times"/>
          <w:kern w:val="0"/>
          <w:szCs w:val="20"/>
        </w:rPr>
        <w:t>m</w:t>
      </w:r>
      <w:r>
        <w:rPr>
          <w:rFonts w:hint="eastAsia" w:ascii="宋体" w:hAnsi="CG Times"/>
          <w:kern w:val="0"/>
          <w:szCs w:val="20"/>
          <w:vertAlign w:val="superscript"/>
        </w:rPr>
        <w:t>2</w:t>
      </w:r>
      <w:r>
        <w:rPr>
          <w:rFonts w:hint="eastAsia" w:ascii="宋体" w:hAnsi="CG Times"/>
          <w:kern w:val="0"/>
          <w:szCs w:val="20"/>
        </w:rPr>
        <w:t>留穗量不超过5</w:t>
      </w:r>
      <w:r>
        <w:rPr>
          <w:rFonts w:hint="eastAsia" w:ascii="宋体" w:hAnsi="CG Times"/>
          <w:kern w:val="0"/>
          <w:szCs w:val="20"/>
          <w:vertAlign w:val="superscript"/>
        </w:rPr>
        <w:t xml:space="preserve"> </w:t>
      </w:r>
      <w:r>
        <w:rPr>
          <w:rFonts w:hint="eastAsia" w:ascii="宋体" w:hAnsi="CG Times"/>
          <w:kern w:val="0"/>
          <w:szCs w:val="20"/>
        </w:rPr>
        <w:t>000穗，每株留穗量50～70穗。</w:t>
      </w:r>
    </w:p>
    <w:p>
      <w:pPr>
        <w:pStyle w:val="105"/>
        <w:spacing w:before="240" w:after="240"/>
      </w:pPr>
      <w:r>
        <w:rPr>
          <w:rFonts w:hint="eastAsia"/>
        </w:rPr>
        <w:t>病虫害防治</w:t>
      </w:r>
    </w:p>
    <w:p>
      <w:pPr>
        <w:pStyle w:val="106"/>
        <w:spacing w:before="120" w:after="120"/>
        <w:ind w:left="0"/>
      </w:pPr>
      <w:r>
        <w:rPr>
          <w:rFonts w:hint="eastAsia"/>
        </w:rPr>
        <w:t>主要病虫害</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主要病虫害有灰霉病、白粉病、炭疽病、霜霉病、蓟马、斜纹夜蛾、透翅蛾、金龟子、叶蝉、叶螨等。</w:t>
      </w:r>
    </w:p>
    <w:p>
      <w:pPr>
        <w:pStyle w:val="106"/>
        <w:spacing w:before="120" w:after="120"/>
        <w:ind w:left="0"/>
      </w:pPr>
      <w:r>
        <w:rPr>
          <w:rFonts w:hint="eastAsia"/>
        </w:rPr>
        <w:t>防治原则</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hint="eastAsia" w:ascii="Times New Roman" w:hAnsi="宋体" w:cs="宋体"/>
          <w:szCs w:val="22"/>
        </w:rPr>
        <w:t>坚持“预防为主，综合防治”的植保方针，优先采用农业、物理和生物防治措施，辅助以安全合理的化学防治措施。</w:t>
      </w:r>
    </w:p>
    <w:p>
      <w:pPr>
        <w:pStyle w:val="106"/>
        <w:spacing w:before="120" w:after="120"/>
        <w:ind w:left="0"/>
      </w:pPr>
      <w:r>
        <w:rPr>
          <w:rFonts w:hint="eastAsia"/>
        </w:rPr>
        <w:t>农业防治</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合理控制负载量，成熟期疏去果穗周围老叶，及时剪除病虫枝叶，采收后及时清园。</w:t>
      </w:r>
      <w:r>
        <w:rPr>
          <w:rFonts w:hint="eastAsia"/>
        </w:rPr>
        <w:t>葡萄园中的落叶和修剪下的枝条，带出园外进行无害化处理。修剪下的枝条，量大时，经粉碎、堆沤后，作为有机肥还田。废弃的地膜、棚膜和农药包装袋等应收集好进行集中处理。</w:t>
      </w:r>
    </w:p>
    <w:p>
      <w:pPr>
        <w:pStyle w:val="106"/>
        <w:spacing w:before="120" w:after="120"/>
        <w:ind w:left="0"/>
      </w:pPr>
      <w:r>
        <w:rPr>
          <w:rFonts w:hint="eastAsia"/>
        </w:rPr>
        <w:t>物理防治</w:t>
      </w:r>
    </w:p>
    <w:p>
      <w:pPr>
        <w:widowControl/>
        <w:tabs>
          <w:tab w:val="center" w:pos="4201"/>
          <w:tab w:val="right" w:leader="dot" w:pos="9298"/>
        </w:tabs>
        <w:autoSpaceDE w:val="0"/>
        <w:autoSpaceDN w:val="0"/>
        <w:adjustRightInd/>
        <w:spacing w:line="240" w:lineRule="auto"/>
        <w:ind w:firstLine="420" w:firstLineChars="200"/>
        <w:rPr>
          <w:rFonts w:ascii="宋体" w:hAnsi="Times New Roman"/>
          <w:color w:val="FF0000"/>
          <w:kern w:val="0"/>
          <w:szCs w:val="20"/>
        </w:rPr>
      </w:pPr>
      <w:r>
        <w:rPr>
          <w:rFonts w:hint="eastAsia" w:ascii="宋体" w:hAnsi="Times New Roman"/>
          <w:kern w:val="0"/>
          <w:szCs w:val="20"/>
        </w:rPr>
        <w:t>采用避雨栽培、节水灌溉等技术；每667</w:t>
      </w:r>
      <w:r>
        <w:rPr>
          <w:rFonts w:hint="eastAsia" w:ascii="宋体" w:hAnsi="Times New Roman"/>
          <w:kern w:val="0"/>
          <w:szCs w:val="20"/>
          <w:vertAlign w:val="subscript"/>
        </w:rPr>
        <w:t xml:space="preserve"> </w:t>
      </w:r>
      <w:r>
        <w:rPr>
          <w:rFonts w:hint="eastAsia" w:ascii="宋体" w:hAnsi="Times New Roman"/>
          <w:kern w:val="0"/>
          <w:szCs w:val="20"/>
        </w:rPr>
        <w:t>m</w:t>
      </w:r>
      <w:r>
        <w:rPr>
          <w:rFonts w:hint="eastAsia" w:ascii="宋体" w:hAnsi="Times New Roman"/>
          <w:kern w:val="0"/>
          <w:szCs w:val="20"/>
          <w:vertAlign w:val="superscript"/>
        </w:rPr>
        <w:t>2</w:t>
      </w:r>
      <w:r>
        <w:rPr>
          <w:rFonts w:hint="eastAsia" w:ascii="宋体" w:hAnsi="Times New Roman"/>
          <w:kern w:val="0"/>
          <w:szCs w:val="20"/>
        </w:rPr>
        <w:t>悬挂30～40个可降解黄板和蓝板诱杀蓟马等趋色性害虫，每15×667</w:t>
      </w:r>
      <w:r>
        <w:rPr>
          <w:rFonts w:hint="eastAsia" w:ascii="宋体" w:hAnsi="Times New Roman"/>
          <w:kern w:val="0"/>
          <w:szCs w:val="20"/>
          <w:vertAlign w:val="subscript"/>
        </w:rPr>
        <w:t xml:space="preserve"> </w:t>
      </w:r>
      <w:r>
        <w:rPr>
          <w:rFonts w:hint="eastAsia" w:ascii="宋体" w:hAnsi="Times New Roman"/>
          <w:kern w:val="0"/>
          <w:szCs w:val="20"/>
        </w:rPr>
        <w:t>m</w:t>
      </w:r>
      <w:r>
        <w:rPr>
          <w:rFonts w:hint="eastAsia" w:ascii="宋体" w:hAnsi="Times New Roman"/>
          <w:kern w:val="0"/>
          <w:szCs w:val="20"/>
          <w:vertAlign w:val="superscript"/>
        </w:rPr>
        <w:t>2</w:t>
      </w:r>
      <w:r>
        <w:rPr>
          <w:rFonts w:hint="eastAsia" w:ascii="宋体" w:hAnsi="Times New Roman"/>
          <w:kern w:val="0"/>
          <w:szCs w:val="20"/>
        </w:rPr>
        <w:t>悬挂1～2盏诱虫灯诱杀透翅蛾等趋光性害虫；在树冠的中、上部悬挂装有按糖：醋：酒：水=3:6:1:9的比例混合配制而成的糖醋液容器诱杀金龟子等害虫。每667</w:t>
      </w:r>
      <w:r>
        <w:rPr>
          <w:rFonts w:hint="eastAsia" w:ascii="宋体" w:hAnsi="Times New Roman"/>
          <w:kern w:val="0"/>
          <w:szCs w:val="20"/>
          <w:vertAlign w:val="superscript"/>
        </w:rPr>
        <w:t xml:space="preserve"> </w:t>
      </w:r>
      <w:r>
        <w:rPr>
          <w:rFonts w:hint="eastAsia" w:ascii="宋体" w:hAnsi="Times New Roman"/>
          <w:kern w:val="0"/>
          <w:szCs w:val="20"/>
        </w:rPr>
        <w:t>m</w:t>
      </w:r>
      <w:r>
        <w:rPr>
          <w:rFonts w:hint="eastAsia" w:ascii="宋体" w:hAnsi="Times New Roman"/>
          <w:kern w:val="0"/>
          <w:szCs w:val="20"/>
          <w:vertAlign w:val="superscript"/>
        </w:rPr>
        <w:t>2</w:t>
      </w:r>
      <w:r>
        <w:rPr>
          <w:rFonts w:hint="eastAsia" w:ascii="宋体" w:hAnsi="Times New Roman"/>
          <w:kern w:val="0"/>
          <w:szCs w:val="20"/>
        </w:rPr>
        <w:t>挂6个容器为宜，可结合辛硫磷等杀虫剂使用。</w:t>
      </w:r>
    </w:p>
    <w:p>
      <w:pPr>
        <w:pStyle w:val="106"/>
        <w:spacing w:before="120" w:after="120"/>
        <w:ind w:left="0"/>
      </w:pPr>
      <w:r>
        <w:rPr>
          <w:rFonts w:hint="eastAsia"/>
        </w:rPr>
        <w:t>生物防治</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保护瓢虫、草蛉、捕食螨等害虫天敌，创造适宜自然天敌繁殖的环境。应用有益微生物及其代谢产物防治病虫害；利用昆虫性信息素诱杀成虫，如采用斜纹夜蛾诱捕器诱杀斜纹夜蛾，将斜纹夜蛾性诱剂诱芯放入配套的夜蛾类诱捕器中，每667</w:t>
      </w:r>
      <w:r>
        <w:rPr>
          <w:rFonts w:hint="eastAsia" w:ascii="宋体" w:hAnsi="Times New Roman"/>
          <w:kern w:val="0"/>
          <w:szCs w:val="20"/>
          <w:vertAlign w:val="superscript"/>
        </w:rPr>
        <w:t xml:space="preserve"> </w:t>
      </w:r>
      <w:r>
        <w:rPr>
          <w:rFonts w:hint="eastAsia" w:ascii="宋体" w:hAnsi="Times New Roman"/>
          <w:kern w:val="0"/>
          <w:szCs w:val="20"/>
        </w:rPr>
        <w:t>m</w:t>
      </w:r>
      <w:r>
        <w:rPr>
          <w:rFonts w:hint="eastAsia" w:ascii="宋体" w:hAnsi="Times New Roman"/>
          <w:kern w:val="0"/>
          <w:szCs w:val="20"/>
          <w:vertAlign w:val="superscript"/>
        </w:rPr>
        <w:t>2</w:t>
      </w:r>
      <w:r>
        <w:rPr>
          <w:rFonts w:hint="eastAsia" w:ascii="宋体" w:hAnsi="Times New Roman"/>
          <w:kern w:val="0"/>
          <w:szCs w:val="20"/>
        </w:rPr>
        <w:t>悬挂3套，挂放高度为进虫口距地面1.0</w:t>
      </w:r>
      <w:r>
        <w:rPr>
          <w:rFonts w:hint="eastAsia" w:ascii="宋体" w:hAnsi="Times New Roman"/>
          <w:kern w:val="0"/>
          <w:szCs w:val="20"/>
          <w:vertAlign w:val="superscript"/>
        </w:rPr>
        <w:t xml:space="preserve"> </w:t>
      </w:r>
      <w:r>
        <w:rPr>
          <w:rFonts w:hint="eastAsia" w:ascii="宋体" w:hAnsi="Times New Roman"/>
          <w:kern w:val="0"/>
          <w:szCs w:val="20"/>
        </w:rPr>
        <w:t>m～1.5</w:t>
      </w:r>
      <w:r>
        <w:rPr>
          <w:rFonts w:hint="eastAsia" w:ascii="宋体" w:hAnsi="Times New Roman"/>
          <w:kern w:val="0"/>
          <w:szCs w:val="20"/>
          <w:vertAlign w:val="superscript"/>
        </w:rPr>
        <w:t xml:space="preserve"> </w:t>
      </w:r>
      <w:r>
        <w:rPr>
          <w:rFonts w:hint="eastAsia" w:ascii="宋体" w:hAnsi="Times New Roman"/>
          <w:kern w:val="0"/>
          <w:szCs w:val="20"/>
        </w:rPr>
        <w:t>m。利用植物源、微生物源、矿物源农药等来进行防治，防治方法参见附录A。</w:t>
      </w:r>
    </w:p>
    <w:p>
      <w:pPr>
        <w:pStyle w:val="106"/>
        <w:spacing w:before="120" w:after="120"/>
        <w:ind w:left="0"/>
      </w:pPr>
      <w:r>
        <w:rPr>
          <w:rFonts w:hint="eastAsia"/>
        </w:rPr>
        <w:t>药剂防治</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主要病虫害防治方法参见附录A，使用的农药应符合NY/T 393的规定。</w:t>
      </w:r>
    </w:p>
    <w:p>
      <w:pPr>
        <w:pStyle w:val="105"/>
        <w:spacing w:before="240" w:after="240"/>
      </w:pPr>
      <w:r>
        <w:rPr>
          <w:rFonts w:hint="eastAsia"/>
        </w:rPr>
        <w:t>采收</w:t>
      </w:r>
    </w:p>
    <w:p>
      <w:pPr>
        <w:pStyle w:val="106"/>
        <w:spacing w:before="120" w:after="120"/>
        <w:ind w:left="0"/>
      </w:pPr>
      <w:r>
        <w:rPr>
          <w:rFonts w:hint="eastAsia"/>
        </w:rPr>
        <w:t>采收时间</w:t>
      </w:r>
    </w:p>
    <w:p>
      <w:pPr>
        <w:widowControl/>
        <w:autoSpaceDE w:val="0"/>
        <w:autoSpaceDN w:val="0"/>
        <w:adjustRightInd/>
        <w:spacing w:line="240" w:lineRule="auto"/>
        <w:ind w:firstLine="420" w:firstLineChars="200"/>
        <w:rPr>
          <w:rFonts w:ascii="宋体" w:hAnsi="宋体" w:cs="宋体"/>
          <w:kern w:val="0"/>
        </w:rPr>
      </w:pPr>
      <w:r>
        <w:rPr>
          <w:rFonts w:hint="eastAsia" w:ascii="宋体" w:hAnsi="宋体" w:cs="宋体"/>
          <w:kern w:val="0"/>
        </w:rPr>
        <w:t>果皮深红色、种子表皮深褐色时采收。宜选择晴朗天气进行采收，防止烈日暴晒。</w:t>
      </w:r>
    </w:p>
    <w:p>
      <w:pPr>
        <w:pStyle w:val="106"/>
        <w:spacing w:before="120" w:after="120"/>
        <w:ind w:left="0"/>
      </w:pPr>
      <w:r>
        <w:rPr>
          <w:rFonts w:hint="eastAsia"/>
        </w:rPr>
        <w:t>采收方法</w:t>
      </w:r>
    </w:p>
    <w:p>
      <w:pPr>
        <w:widowControl/>
        <w:adjustRightInd/>
        <w:spacing w:line="240" w:lineRule="auto"/>
        <w:ind w:firstLine="420" w:firstLineChars="200"/>
        <w:jc w:val="left"/>
        <w:outlineLvl w:val="1"/>
        <w:rPr>
          <w:rFonts w:ascii="宋体" w:hAnsi="宋体" w:cs="宋体"/>
          <w:kern w:val="0"/>
        </w:rPr>
      </w:pPr>
      <w:r>
        <w:rPr>
          <w:rFonts w:hint="eastAsia" w:ascii="宋体" w:hAnsi="宋体" w:cs="宋体"/>
          <w:kern w:val="0"/>
        </w:rPr>
        <w:t>采收时带穗梗采收，不摘病虫果、伤果、过熟果和畸形果；采收过程中做到轻拿轻放，尽量避免碰伤果穗和抹掉果实表面的果粉。在装运时，应降低容器高度，放入筐内的果实外围要与筐缘相平，保证果实表面良好的清洁状态。</w:t>
      </w:r>
    </w:p>
    <w:p>
      <w:pPr>
        <w:pStyle w:val="105"/>
        <w:spacing w:before="240" w:after="240"/>
      </w:pPr>
      <w:r>
        <w:rPr>
          <w:rFonts w:hint="eastAsia"/>
        </w:rPr>
        <w:t>生产档案</w:t>
      </w:r>
    </w:p>
    <w:p>
      <w:pPr>
        <w:pStyle w:val="57"/>
        <w:ind w:firstLine="420"/>
      </w:pPr>
      <w:r>
        <w:rPr>
          <w:rFonts w:hint="eastAsia" w:ascii="CG Times" w:hAnsi="CG Times"/>
          <w:kern w:val="2"/>
          <w:szCs w:val="24"/>
        </w:rPr>
        <w:t>建立田间生产档案，包括投入品的名称、来源、用法、用量和使用、停用的日期及生产技术、病虫草害的发生和防治等。</w:t>
      </w: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0" w:firstLineChars="0"/>
      </w:pPr>
    </w:p>
    <w:bookmarkEnd w:id="20"/>
    <w:p>
      <w:pPr>
        <w:pStyle w:val="199"/>
      </w:pPr>
    </w:p>
    <w:p>
      <w:pPr>
        <w:pStyle w:val="200"/>
      </w:pPr>
    </w:p>
    <w:p>
      <w:pPr>
        <w:pStyle w:val="77"/>
        <w:spacing w:before="60" w:after="120"/>
      </w:pPr>
      <w:bookmarkStart w:id="39" w:name="BookMark5"/>
      <w:r>
        <w:br w:type="textWrapping"/>
      </w:r>
      <w:r>
        <w:rPr>
          <w:rFonts w:hint="eastAsia"/>
        </w:rPr>
        <w:t>（资料性）</w:t>
      </w:r>
      <w:r>
        <w:br w:type="textWrapping"/>
      </w:r>
      <w:r>
        <w:rPr>
          <w:rFonts w:hint="eastAsia"/>
        </w:rPr>
        <w:t>主要病虫害防治方法</w:t>
      </w:r>
    </w:p>
    <w:p>
      <w:pPr>
        <w:pStyle w:val="57"/>
        <w:ind w:firstLine="420"/>
      </w:pPr>
      <w:r>
        <w:rPr>
          <w:rFonts w:hint="eastAsia"/>
        </w:rPr>
        <w:t>主要病虫害防治方法见表A.1。</w:t>
      </w:r>
    </w:p>
    <w:p>
      <w:pPr>
        <w:pStyle w:val="78"/>
        <w:spacing w:before="120" w:after="120"/>
      </w:pPr>
      <w:r>
        <w:rPr>
          <w:rFonts w:hint="eastAsia"/>
        </w:rPr>
        <w:t>主要病虫害防治方法</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2088"/>
        <w:gridCol w:w="3177"/>
        <w:gridCol w:w="33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08" w:type="pct"/>
            <w:tcBorders>
              <w:bottom w:val="single" w:color="auto" w:sz="8" w:space="0"/>
            </w:tcBorders>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防治对象</w:t>
            </w:r>
          </w:p>
        </w:tc>
        <w:tc>
          <w:tcPr>
            <w:tcW w:w="1090" w:type="pct"/>
            <w:tcBorders>
              <w:bottom w:val="single" w:color="auto" w:sz="8" w:space="0"/>
            </w:tcBorders>
            <w:vAlign w:val="center"/>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发生时期</w:t>
            </w:r>
          </w:p>
        </w:tc>
        <w:tc>
          <w:tcPr>
            <w:tcW w:w="1659" w:type="pct"/>
            <w:tcBorders>
              <w:bottom w:val="single" w:color="auto" w:sz="8" w:space="0"/>
            </w:tcBorders>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药剂</w:t>
            </w:r>
          </w:p>
        </w:tc>
        <w:tc>
          <w:tcPr>
            <w:tcW w:w="1740" w:type="pct"/>
            <w:tcBorders>
              <w:bottom w:val="single" w:color="auto" w:sz="8" w:space="0"/>
            </w:tcBorders>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注意事项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508" w:type="pct"/>
            <w:vMerge w:val="restart"/>
            <w:tcBorders>
              <w:top w:val="single" w:color="auto" w:sz="8" w:space="0"/>
            </w:tcBorders>
            <w:vAlign w:val="center"/>
          </w:tcPr>
          <w:p>
            <w:pPr>
              <w:adjustRightInd/>
              <w:jc w:val="center"/>
              <w:rPr>
                <w:rFonts w:ascii="宋体" w:hAnsi="宋体" w:cs="宋体"/>
                <w:color w:val="000000" w:themeColor="text1"/>
                <w:sz w:val="18"/>
                <w:szCs w:val="18"/>
              </w:rPr>
            </w:pPr>
            <w:r>
              <w:rPr>
                <w:rFonts w:hint="eastAsia" w:ascii="宋体" w:hAnsi="宋体" w:cs="宋体"/>
                <w:color w:val="000000" w:themeColor="text1"/>
                <w:kern w:val="0"/>
                <w:sz w:val="18"/>
                <w:szCs w:val="18"/>
              </w:rPr>
              <w:t>霜霉病</w:t>
            </w:r>
          </w:p>
        </w:tc>
        <w:tc>
          <w:tcPr>
            <w:tcW w:w="1090" w:type="pct"/>
            <w:vMerge w:val="restart"/>
            <w:tcBorders>
              <w:top w:val="single" w:color="auto" w:sz="8" w:space="0"/>
            </w:tcBorders>
            <w:vAlign w:val="center"/>
          </w:tcPr>
          <w:p>
            <w:pPr>
              <w:adjustRightInd/>
              <w:ind w:right="17" w:rightChars="8"/>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露地栽培最主要病害，主要随雨季来临而发生；设施栽培一般发生不严重，仅在中露水较重的天气易发生，对花序、叶片、幼果为害严重。</w:t>
            </w:r>
          </w:p>
          <w:p>
            <w:pPr>
              <w:adjustRightInd/>
              <w:ind w:right="17" w:rightChars="8"/>
              <w:jc w:val="center"/>
              <w:rPr>
                <w:rFonts w:ascii="宋体" w:hAnsi="宋体" w:cs="宋体"/>
                <w:color w:val="000000" w:themeColor="text1"/>
                <w:kern w:val="0"/>
                <w:sz w:val="18"/>
                <w:szCs w:val="18"/>
              </w:rPr>
            </w:pPr>
          </w:p>
        </w:tc>
        <w:tc>
          <w:tcPr>
            <w:tcW w:w="1659" w:type="pct"/>
            <w:tcBorders>
              <w:top w:val="single" w:color="auto" w:sz="8" w:space="0"/>
            </w:tcBorders>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哈茨木霉菌可湿性粉剂（3亿CFU/g）200～250倍液</w:t>
            </w:r>
          </w:p>
        </w:tc>
        <w:tc>
          <w:tcPr>
            <w:tcW w:w="1740" w:type="pct"/>
            <w:tcBorders>
              <w:top w:val="single" w:color="auto" w:sz="8" w:space="0"/>
            </w:tcBorders>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发病初期使用，每3</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d～5</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d施药1次，连续施用2～3次。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508" w:type="pct"/>
            <w:vMerge w:val="continue"/>
            <w:vAlign w:val="center"/>
          </w:tcPr>
          <w:p>
            <w:pPr>
              <w:adjustRightInd/>
              <w:ind w:right="17" w:rightChars="8"/>
            </w:pPr>
          </w:p>
        </w:tc>
        <w:tc>
          <w:tcPr>
            <w:tcW w:w="1090" w:type="pct"/>
            <w:vMerge w:val="continue"/>
            <w:vAlign w:val="center"/>
          </w:tcPr>
          <w:p>
            <w:pPr>
              <w:adjustRightInd/>
              <w:ind w:right="17" w:rightChars="8"/>
              <w:jc w:val="center"/>
            </w:pPr>
          </w:p>
        </w:tc>
        <w:tc>
          <w:tcPr>
            <w:tcW w:w="1659" w:type="pct"/>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氨基寡糖素可湿性粉剂（2％）600～800倍液</w:t>
            </w:r>
          </w:p>
        </w:tc>
        <w:tc>
          <w:tcPr>
            <w:tcW w:w="1740" w:type="pct"/>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安全间隔期10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508" w:type="pct"/>
            <w:vMerge w:val="continue"/>
            <w:vAlign w:val="center"/>
          </w:tcPr>
          <w:p>
            <w:pPr>
              <w:adjustRightInd/>
              <w:ind w:right="17" w:rightChars="8"/>
              <w:rPr>
                <w:rFonts w:ascii="宋体" w:hAnsi="宋体" w:cs="宋体"/>
                <w:color w:val="000000" w:themeColor="text1"/>
                <w:kern w:val="0"/>
                <w:sz w:val="18"/>
                <w:szCs w:val="18"/>
              </w:rPr>
            </w:pPr>
          </w:p>
        </w:tc>
        <w:tc>
          <w:tcPr>
            <w:tcW w:w="1090" w:type="pct"/>
            <w:vMerge w:val="continue"/>
            <w:vAlign w:val="center"/>
          </w:tcPr>
          <w:p>
            <w:pPr>
              <w:adjustRightInd/>
              <w:ind w:right="17" w:rightChars="8"/>
              <w:jc w:val="center"/>
              <w:rPr>
                <w:rFonts w:ascii="宋体" w:hAnsi="宋体" w:cs="宋体"/>
                <w:color w:val="000000" w:themeColor="text1"/>
                <w:kern w:val="0"/>
                <w:sz w:val="18"/>
                <w:szCs w:val="18"/>
              </w:rPr>
            </w:pPr>
          </w:p>
        </w:tc>
        <w:tc>
          <w:tcPr>
            <w:tcW w:w="1659" w:type="pct"/>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波尔多液悬浮剂（28％）100～150倍液</w:t>
            </w:r>
          </w:p>
        </w:tc>
        <w:tc>
          <w:tcPr>
            <w:tcW w:w="1740" w:type="pct"/>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每7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d～10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d施药1次，安全间隔期14</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08" w:type="pct"/>
            <w:vMerge w:val="continue"/>
            <w:vAlign w:val="center"/>
          </w:tcPr>
          <w:p>
            <w:pPr>
              <w:adjustRightInd/>
              <w:ind w:right="17" w:rightChars="8"/>
              <w:rPr>
                <w:rFonts w:ascii="宋体" w:hAnsi="宋体" w:cs="宋体"/>
                <w:color w:val="000000" w:themeColor="text1"/>
                <w:kern w:val="0"/>
                <w:sz w:val="18"/>
                <w:szCs w:val="18"/>
              </w:rPr>
            </w:pPr>
          </w:p>
        </w:tc>
        <w:tc>
          <w:tcPr>
            <w:tcW w:w="1090" w:type="pct"/>
            <w:vMerge w:val="continue"/>
            <w:vAlign w:val="center"/>
          </w:tcPr>
          <w:p>
            <w:pPr>
              <w:adjustRightInd/>
              <w:ind w:right="17" w:rightChars="8"/>
              <w:jc w:val="center"/>
              <w:rPr>
                <w:rFonts w:ascii="宋体" w:hAnsi="宋体" w:cs="宋体"/>
                <w:color w:val="000000" w:themeColor="text1"/>
                <w:kern w:val="0"/>
                <w:sz w:val="18"/>
                <w:szCs w:val="18"/>
              </w:rPr>
            </w:pPr>
          </w:p>
        </w:tc>
        <w:tc>
          <w:tcPr>
            <w:tcW w:w="1659" w:type="pct"/>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烯酰吗啉水分散粒剂（80％）3200～4000倍液</w:t>
            </w:r>
          </w:p>
        </w:tc>
        <w:tc>
          <w:tcPr>
            <w:tcW w:w="1740" w:type="pct"/>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每7d～10d施药1次，安全间隔期14 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508" w:type="pct"/>
            <w:vMerge w:val="continue"/>
            <w:vAlign w:val="center"/>
          </w:tcPr>
          <w:p>
            <w:pPr>
              <w:adjustRightInd/>
              <w:ind w:right="17" w:rightChars="8"/>
              <w:rPr>
                <w:rFonts w:ascii="宋体" w:hAnsi="宋体" w:cs="宋体"/>
                <w:color w:val="000000" w:themeColor="text1"/>
                <w:kern w:val="0"/>
                <w:sz w:val="18"/>
                <w:szCs w:val="18"/>
              </w:rPr>
            </w:pPr>
          </w:p>
        </w:tc>
        <w:tc>
          <w:tcPr>
            <w:tcW w:w="1090" w:type="pct"/>
            <w:vMerge w:val="continue"/>
            <w:vAlign w:val="center"/>
          </w:tcPr>
          <w:p>
            <w:pPr>
              <w:adjustRightInd/>
              <w:ind w:right="17" w:rightChars="8"/>
              <w:jc w:val="center"/>
              <w:rPr>
                <w:rFonts w:ascii="宋体" w:hAnsi="宋体" w:cs="宋体"/>
                <w:color w:val="000000" w:themeColor="text1"/>
                <w:kern w:val="0"/>
                <w:sz w:val="18"/>
                <w:szCs w:val="18"/>
              </w:rPr>
            </w:pPr>
          </w:p>
        </w:tc>
        <w:tc>
          <w:tcPr>
            <w:tcW w:w="1659" w:type="pct"/>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代森锰锌可湿性粉剂（80％）600～800倍液</w:t>
            </w:r>
          </w:p>
        </w:tc>
        <w:tc>
          <w:tcPr>
            <w:tcW w:w="1740" w:type="pct"/>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多雨季节每5～7d施药1次，少雨季节每10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d施药1次，安全间隔期28</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508" w:type="pct"/>
            <w:vMerge w:val="continue"/>
            <w:vAlign w:val="center"/>
          </w:tcPr>
          <w:p>
            <w:pPr>
              <w:adjustRightInd/>
              <w:ind w:right="17" w:rightChars="8"/>
              <w:rPr>
                <w:rFonts w:ascii="宋体" w:hAnsi="宋体" w:cs="宋体"/>
                <w:color w:val="000000" w:themeColor="text1"/>
                <w:kern w:val="0"/>
                <w:sz w:val="18"/>
                <w:szCs w:val="18"/>
              </w:rPr>
            </w:pPr>
          </w:p>
        </w:tc>
        <w:tc>
          <w:tcPr>
            <w:tcW w:w="1090" w:type="pct"/>
            <w:vMerge w:val="continue"/>
            <w:vAlign w:val="center"/>
          </w:tcPr>
          <w:p>
            <w:pPr>
              <w:adjustRightInd/>
              <w:ind w:right="17" w:rightChars="8"/>
              <w:jc w:val="center"/>
              <w:rPr>
                <w:rFonts w:ascii="宋体" w:hAnsi="宋体" w:cs="宋体"/>
                <w:color w:val="000000" w:themeColor="text1"/>
                <w:kern w:val="0"/>
                <w:sz w:val="18"/>
                <w:szCs w:val="18"/>
              </w:rPr>
            </w:pPr>
          </w:p>
        </w:tc>
        <w:tc>
          <w:tcPr>
            <w:tcW w:w="1659" w:type="pct"/>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丙森锌可湿性粉剂（70％）400～600倍液</w:t>
            </w:r>
          </w:p>
        </w:tc>
        <w:tc>
          <w:tcPr>
            <w:tcW w:w="1740" w:type="pct"/>
            <w:vAlign w:val="center"/>
          </w:tcPr>
          <w:p>
            <w:pPr>
              <w:adjustRightInd/>
              <w:ind w:right="17" w:rightChars="8"/>
              <w:rPr>
                <w:rFonts w:ascii="宋体" w:hAnsi="宋体" w:cs="宋体"/>
                <w:color w:val="000000" w:themeColor="text1"/>
                <w:kern w:val="0"/>
                <w:sz w:val="18"/>
                <w:szCs w:val="18"/>
              </w:rPr>
            </w:pPr>
            <w:r>
              <w:rPr>
                <w:rFonts w:hint="eastAsia" w:ascii="宋体" w:hAnsi="宋体" w:cs="宋体"/>
                <w:color w:val="000000" w:themeColor="text1"/>
                <w:kern w:val="0"/>
                <w:sz w:val="18"/>
                <w:szCs w:val="18"/>
              </w:rPr>
              <w:t>每10</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d～15</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d施药1次，安全间隔期14</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08" w:type="pct"/>
            <w:vMerge w:val="restart"/>
            <w:vAlign w:val="center"/>
          </w:tcPr>
          <w:p>
            <w:pPr>
              <w:adjustRightInd/>
              <w:jc w:val="center"/>
              <w:rPr>
                <w:rFonts w:ascii="宋体" w:hAnsi="宋体" w:cs="宋体"/>
                <w:color w:val="000000" w:themeColor="text1"/>
                <w:sz w:val="18"/>
                <w:szCs w:val="18"/>
              </w:rPr>
            </w:pPr>
            <w:r>
              <w:rPr>
                <w:rFonts w:hint="eastAsia" w:ascii="宋体" w:hAnsi="宋体" w:cs="宋体"/>
                <w:color w:val="000000" w:themeColor="text1"/>
                <w:kern w:val="0"/>
                <w:sz w:val="18"/>
                <w:szCs w:val="18"/>
              </w:rPr>
              <w:t>白粉病</w:t>
            </w:r>
          </w:p>
        </w:tc>
        <w:tc>
          <w:tcPr>
            <w:tcW w:w="1090" w:type="pct"/>
            <w:vMerge w:val="restart"/>
            <w:vAlign w:val="center"/>
          </w:tcPr>
          <w:p>
            <w:pPr>
              <w:adjustRightInd/>
              <w:jc w:val="center"/>
              <w:rPr>
                <w:rFonts w:ascii="宋体" w:hAnsi="宋体" w:cs="宋体"/>
                <w:color w:val="000000" w:themeColor="text1"/>
                <w:sz w:val="18"/>
                <w:szCs w:val="18"/>
              </w:rPr>
            </w:pPr>
            <w:r>
              <w:rPr>
                <w:rFonts w:hint="eastAsia" w:ascii="宋体" w:hAnsi="宋体" w:cs="宋体"/>
                <w:color w:val="000000" w:themeColor="text1"/>
                <w:sz w:val="18"/>
                <w:szCs w:val="18"/>
              </w:rPr>
              <w:t>花后逐渐开始发病，一般下半年发病更为严重，须于发病前开始防控。</w:t>
            </w:r>
          </w:p>
        </w:tc>
        <w:tc>
          <w:tcPr>
            <w:tcW w:w="1659"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蛇床子素可溶液剂(1％)1 000～2 000倍液</w:t>
            </w:r>
          </w:p>
        </w:tc>
        <w:tc>
          <w:tcPr>
            <w:tcW w:w="1740" w:type="pct"/>
            <w:vAlign w:val="center"/>
          </w:tcPr>
          <w:p>
            <w:pPr>
              <w:adjustRightInd/>
              <w:rPr>
                <w:rFonts w:ascii="宋体" w:hAnsi="宋体" w:cs="宋体"/>
                <w:color w:val="000000" w:themeColor="text1"/>
                <w:sz w:val="18"/>
                <w:szCs w:val="18"/>
              </w:rPr>
            </w:pPr>
            <w:r>
              <w:rPr>
                <w:rFonts w:hint="eastAsia" w:ascii="宋体" w:hAnsi="宋体" w:cs="宋体"/>
                <w:sz w:val="18"/>
                <w:szCs w:val="18"/>
              </w:rPr>
              <w:t>宜间隔7</w:t>
            </w:r>
            <w:r>
              <w:rPr>
                <w:rFonts w:hint="eastAsia" w:ascii="宋体" w:hAnsi="宋体" w:cs="宋体"/>
                <w:sz w:val="18"/>
                <w:szCs w:val="18"/>
                <w:vertAlign w:val="subscript"/>
              </w:rPr>
              <w:t xml:space="preserve"> </w:t>
            </w:r>
            <w:r>
              <w:rPr>
                <w:rFonts w:hint="eastAsia" w:ascii="宋体" w:hAnsi="宋体" w:cs="宋体"/>
                <w:sz w:val="18"/>
                <w:szCs w:val="18"/>
              </w:rPr>
              <w:t>d</w:t>
            </w:r>
            <w:r>
              <w:rPr>
                <w:rFonts w:hint="eastAsia" w:ascii="宋体" w:hAnsi="宋体" w:cs="宋体"/>
                <w:kern w:val="0"/>
                <w:sz w:val="18"/>
                <w:szCs w:val="18"/>
              </w:rPr>
              <w:t>～</w:t>
            </w:r>
            <w:r>
              <w:rPr>
                <w:rFonts w:hint="eastAsia" w:ascii="宋体" w:hAnsi="宋体" w:cs="宋体"/>
                <w:sz w:val="18"/>
                <w:szCs w:val="18"/>
              </w:rPr>
              <w:t>10</w:t>
            </w:r>
            <w:r>
              <w:rPr>
                <w:rFonts w:hint="eastAsia" w:ascii="宋体" w:hAnsi="宋体" w:cs="宋体"/>
                <w:sz w:val="18"/>
                <w:szCs w:val="18"/>
                <w:vertAlign w:val="subscript"/>
              </w:rPr>
              <w:t xml:space="preserve"> </w:t>
            </w:r>
            <w:r>
              <w:rPr>
                <w:rFonts w:hint="eastAsia" w:ascii="宋体" w:hAnsi="宋体" w:cs="宋体"/>
                <w:sz w:val="18"/>
                <w:szCs w:val="18"/>
              </w:rPr>
              <w:t>d施药1次，连续使用不超过2次。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08" w:type="pct"/>
            <w:vMerge w:val="continue"/>
            <w:vAlign w:val="center"/>
          </w:tcPr>
          <w:p>
            <w:pPr>
              <w:adjustRightInd/>
            </w:pPr>
          </w:p>
        </w:tc>
        <w:tc>
          <w:tcPr>
            <w:tcW w:w="1090" w:type="pct"/>
            <w:vMerge w:val="continue"/>
            <w:vAlign w:val="center"/>
          </w:tcPr>
          <w:p>
            <w:pPr>
              <w:adjustRightInd/>
              <w:jc w:val="center"/>
            </w:pPr>
          </w:p>
        </w:tc>
        <w:tc>
          <w:tcPr>
            <w:tcW w:w="1659"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大黄素甲醚水剂（0.5％）800～1 000倍液</w:t>
            </w:r>
          </w:p>
        </w:tc>
        <w:tc>
          <w:tcPr>
            <w:tcW w:w="1740"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每隔7</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d～10</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d施1次药，连喷2～3次效果较好。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08" w:type="pct"/>
            <w:vMerge w:val="continue"/>
            <w:vAlign w:val="center"/>
          </w:tcPr>
          <w:p>
            <w:pPr>
              <w:adjustRightInd/>
              <w:rPr>
                <w:rFonts w:ascii="宋体" w:hAnsi="宋体" w:cs="宋体"/>
                <w:color w:val="000000" w:themeColor="text1"/>
                <w:sz w:val="18"/>
                <w:szCs w:val="18"/>
              </w:rPr>
            </w:pPr>
          </w:p>
        </w:tc>
        <w:tc>
          <w:tcPr>
            <w:tcW w:w="1090" w:type="pct"/>
            <w:vMerge w:val="continue"/>
            <w:vAlign w:val="center"/>
          </w:tcPr>
          <w:p>
            <w:pPr>
              <w:adjustRightInd/>
              <w:jc w:val="center"/>
              <w:rPr>
                <w:rFonts w:ascii="宋体" w:hAnsi="宋体" w:cs="宋体"/>
                <w:color w:val="000000" w:themeColor="text1"/>
                <w:sz w:val="18"/>
                <w:szCs w:val="18"/>
              </w:rPr>
            </w:pPr>
          </w:p>
        </w:tc>
        <w:tc>
          <w:tcPr>
            <w:tcW w:w="1659"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β-羽扇豆球蛋白多肽（20％）300～400倍液</w:t>
            </w:r>
          </w:p>
        </w:tc>
        <w:tc>
          <w:tcPr>
            <w:tcW w:w="1740" w:type="pct"/>
            <w:vAlign w:val="center"/>
          </w:tcPr>
          <w:p>
            <w:pPr>
              <w:adjustRightInd/>
              <w:rPr>
                <w:rFonts w:ascii="宋体" w:hAnsi="宋体" w:cs="宋体"/>
                <w:color w:val="000000" w:themeColor="text1"/>
                <w:sz w:val="18"/>
                <w:szCs w:val="18"/>
              </w:rPr>
            </w:pPr>
            <w:r>
              <w:rPr>
                <w:rFonts w:hint="eastAsia" w:ascii="宋体" w:hAnsi="宋体" w:cs="宋体"/>
                <w:sz w:val="18"/>
                <w:szCs w:val="18"/>
              </w:rPr>
              <w:t>每隔7</w:t>
            </w:r>
            <w:r>
              <w:rPr>
                <w:rFonts w:hint="eastAsia" w:ascii="宋体" w:hAnsi="宋体" w:cs="宋体"/>
                <w:sz w:val="18"/>
                <w:szCs w:val="18"/>
                <w:vertAlign w:val="superscript"/>
              </w:rPr>
              <w:t xml:space="preserve"> </w:t>
            </w:r>
            <w:r>
              <w:rPr>
                <w:rFonts w:hint="eastAsia" w:ascii="宋体" w:hAnsi="宋体" w:cs="宋体"/>
                <w:sz w:val="18"/>
                <w:szCs w:val="18"/>
              </w:rPr>
              <w:t>d施药1次，可连续施药2～4次。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08" w:type="pct"/>
            <w:vMerge w:val="continue"/>
            <w:vAlign w:val="center"/>
          </w:tcPr>
          <w:p>
            <w:pPr>
              <w:adjustRightInd/>
              <w:rPr>
                <w:rFonts w:ascii="宋体" w:hAnsi="宋体" w:cs="宋体"/>
                <w:color w:val="000000" w:themeColor="text1"/>
                <w:sz w:val="18"/>
                <w:szCs w:val="18"/>
              </w:rPr>
            </w:pPr>
          </w:p>
        </w:tc>
        <w:tc>
          <w:tcPr>
            <w:tcW w:w="1090" w:type="pct"/>
            <w:vMerge w:val="continue"/>
            <w:vAlign w:val="center"/>
          </w:tcPr>
          <w:p>
            <w:pPr>
              <w:adjustRightInd/>
              <w:jc w:val="center"/>
              <w:rPr>
                <w:rFonts w:ascii="宋体" w:hAnsi="宋体" w:cs="宋体"/>
                <w:color w:val="000000" w:themeColor="text1"/>
                <w:sz w:val="18"/>
                <w:szCs w:val="18"/>
              </w:rPr>
            </w:pPr>
          </w:p>
        </w:tc>
        <w:tc>
          <w:tcPr>
            <w:tcW w:w="1659"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多抗霉素可湿性粉剂（10％）800～1 000倍液</w:t>
            </w:r>
          </w:p>
        </w:tc>
        <w:tc>
          <w:tcPr>
            <w:tcW w:w="1740"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安全间隔期为7</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d，每季最多使用次数为3次。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08" w:type="pct"/>
            <w:vMerge w:val="continue"/>
            <w:vAlign w:val="center"/>
          </w:tcPr>
          <w:p>
            <w:pPr>
              <w:adjustRightInd/>
              <w:rPr>
                <w:rFonts w:ascii="宋体" w:hAnsi="宋体" w:cs="宋体"/>
                <w:color w:val="000000" w:themeColor="text1"/>
                <w:sz w:val="18"/>
                <w:szCs w:val="18"/>
              </w:rPr>
            </w:pPr>
          </w:p>
        </w:tc>
        <w:tc>
          <w:tcPr>
            <w:tcW w:w="1090" w:type="pct"/>
            <w:vMerge w:val="continue"/>
            <w:vAlign w:val="center"/>
          </w:tcPr>
          <w:p>
            <w:pPr>
              <w:adjustRightInd/>
              <w:jc w:val="center"/>
              <w:rPr>
                <w:rFonts w:ascii="宋体" w:hAnsi="宋体" w:cs="宋体"/>
                <w:color w:val="000000" w:themeColor="text1"/>
                <w:sz w:val="18"/>
                <w:szCs w:val="18"/>
              </w:rPr>
            </w:pPr>
          </w:p>
        </w:tc>
        <w:tc>
          <w:tcPr>
            <w:tcW w:w="1659"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嘧啶核苷类抗菌素水剂（6％）600倍液</w:t>
            </w:r>
          </w:p>
        </w:tc>
        <w:tc>
          <w:tcPr>
            <w:tcW w:w="1740"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每间隔7</w:t>
            </w:r>
            <w:r>
              <w:rPr>
                <w:rFonts w:hint="eastAsia" w:ascii="宋体" w:hAnsi="宋体" w:cs="宋体"/>
                <w:sz w:val="18"/>
                <w:szCs w:val="18"/>
              </w:rPr>
              <w:t>～</w:t>
            </w:r>
            <w:r>
              <w:rPr>
                <w:rFonts w:hint="eastAsia" w:ascii="宋体" w:hAnsi="宋体" w:cs="宋体"/>
                <w:color w:val="000000" w:themeColor="text1"/>
                <w:sz w:val="18"/>
                <w:szCs w:val="18"/>
              </w:rPr>
              <w:t>10天施药1次，每季使用2～3次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08" w:type="pct"/>
            <w:vMerge w:val="continue"/>
            <w:vAlign w:val="center"/>
          </w:tcPr>
          <w:p>
            <w:pPr>
              <w:adjustRightInd/>
              <w:rPr>
                <w:rFonts w:ascii="宋体" w:hAnsi="宋体" w:cs="宋体"/>
                <w:color w:val="000000" w:themeColor="text1"/>
                <w:sz w:val="18"/>
                <w:szCs w:val="18"/>
              </w:rPr>
            </w:pPr>
          </w:p>
        </w:tc>
        <w:tc>
          <w:tcPr>
            <w:tcW w:w="1090" w:type="pct"/>
            <w:vMerge w:val="continue"/>
            <w:vAlign w:val="center"/>
          </w:tcPr>
          <w:p>
            <w:pPr>
              <w:adjustRightInd/>
              <w:jc w:val="center"/>
              <w:rPr>
                <w:rFonts w:ascii="宋体" w:hAnsi="宋体" w:cs="宋体"/>
                <w:color w:val="000000" w:themeColor="text1"/>
                <w:sz w:val="18"/>
                <w:szCs w:val="18"/>
              </w:rPr>
            </w:pPr>
          </w:p>
        </w:tc>
        <w:tc>
          <w:tcPr>
            <w:tcW w:w="1659"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氟菌唑可湿性粉剂（30%）15</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g/667m</w:t>
            </w:r>
            <w:r>
              <w:rPr>
                <w:rFonts w:hint="eastAsia" w:ascii="宋体" w:hAnsi="宋体" w:cs="宋体"/>
                <w:color w:val="000000" w:themeColor="text1"/>
                <w:sz w:val="18"/>
                <w:szCs w:val="18"/>
                <w:vertAlign w:val="superscript"/>
              </w:rPr>
              <w:t>2</w:t>
            </w:r>
            <w:r>
              <w:rPr>
                <w:rFonts w:hint="eastAsia" w:ascii="宋体" w:hAnsi="宋体" w:cs="宋体"/>
                <w:color w:val="000000" w:themeColor="text1"/>
                <w:sz w:val="18"/>
                <w:szCs w:val="18"/>
              </w:rPr>
              <w:t>～18</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g/667m</w:t>
            </w:r>
            <w:r>
              <w:rPr>
                <w:rFonts w:hint="eastAsia" w:ascii="宋体" w:hAnsi="宋体" w:cs="宋体"/>
                <w:color w:val="000000" w:themeColor="text1"/>
                <w:sz w:val="18"/>
                <w:szCs w:val="18"/>
                <w:vertAlign w:val="superscript"/>
              </w:rPr>
              <w:t>2</w:t>
            </w:r>
          </w:p>
        </w:tc>
        <w:tc>
          <w:tcPr>
            <w:tcW w:w="1740" w:type="pct"/>
            <w:vAlign w:val="center"/>
          </w:tcPr>
          <w:p>
            <w:pPr>
              <w:adjustRightInd/>
              <w:rPr>
                <w:rFonts w:ascii="宋体" w:hAnsi="宋体" w:cs="宋体"/>
                <w:color w:val="000000" w:themeColor="text1"/>
                <w:sz w:val="18"/>
                <w:szCs w:val="18"/>
              </w:rPr>
            </w:pPr>
            <w:r>
              <w:rPr>
                <w:rFonts w:hint="eastAsia" w:ascii="宋体" w:hAnsi="宋体" w:cs="宋体"/>
                <w:color w:val="000000" w:themeColor="text1"/>
                <w:kern w:val="0"/>
                <w:sz w:val="18"/>
                <w:szCs w:val="18"/>
              </w:rPr>
              <w:t>每7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d施药1次，安全间隔期7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d，每季作物最多使用3次。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508" w:type="pct"/>
            <w:vMerge w:val="continue"/>
            <w:vAlign w:val="center"/>
          </w:tcPr>
          <w:p>
            <w:pPr>
              <w:adjustRightInd/>
              <w:rPr>
                <w:rFonts w:ascii="宋体" w:hAnsi="宋体" w:cs="宋体"/>
                <w:color w:val="000000" w:themeColor="text1"/>
                <w:sz w:val="18"/>
                <w:szCs w:val="18"/>
              </w:rPr>
            </w:pPr>
          </w:p>
        </w:tc>
        <w:tc>
          <w:tcPr>
            <w:tcW w:w="1090" w:type="pct"/>
            <w:vMerge w:val="continue"/>
            <w:vAlign w:val="center"/>
          </w:tcPr>
          <w:p>
            <w:pPr>
              <w:adjustRightInd/>
              <w:jc w:val="center"/>
              <w:rPr>
                <w:rFonts w:ascii="宋体" w:hAnsi="宋体" w:cs="宋体"/>
                <w:color w:val="000000" w:themeColor="text1"/>
                <w:sz w:val="18"/>
                <w:szCs w:val="18"/>
              </w:rPr>
            </w:pPr>
          </w:p>
        </w:tc>
        <w:tc>
          <w:tcPr>
            <w:tcW w:w="1659"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戊唑•嘧菌酯悬浮剂（29％）2 000～2</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500倍液</w:t>
            </w:r>
          </w:p>
        </w:tc>
        <w:tc>
          <w:tcPr>
            <w:tcW w:w="1740"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每季最多用药3次，间隔7</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d连续施药，使用的安全间隔期为14</w:t>
            </w:r>
            <w:r>
              <w:rPr>
                <w:rFonts w:hint="eastAsia" w:ascii="宋体" w:hAnsi="宋体" w:cs="宋体"/>
                <w:color w:val="000000" w:themeColor="text1"/>
                <w:sz w:val="18"/>
                <w:szCs w:val="18"/>
                <w:vertAlign w:val="subscript"/>
              </w:rPr>
              <w:t xml:space="preserve"> </w:t>
            </w:r>
            <w:r>
              <w:rPr>
                <w:rFonts w:hint="eastAsia" w:ascii="宋体" w:hAnsi="宋体" w:cs="宋体"/>
                <w:color w:val="000000" w:themeColor="text1"/>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08" w:type="pct"/>
            <w:vMerge w:val="continue"/>
            <w:vAlign w:val="center"/>
          </w:tcPr>
          <w:p>
            <w:pPr>
              <w:adjustRightInd/>
              <w:rPr>
                <w:rFonts w:ascii="宋体" w:hAnsi="宋体" w:cs="宋体"/>
                <w:color w:val="000000" w:themeColor="text1"/>
                <w:sz w:val="18"/>
                <w:szCs w:val="18"/>
              </w:rPr>
            </w:pPr>
          </w:p>
        </w:tc>
        <w:tc>
          <w:tcPr>
            <w:tcW w:w="1090" w:type="pct"/>
            <w:vMerge w:val="continue"/>
            <w:vAlign w:val="center"/>
          </w:tcPr>
          <w:p>
            <w:pPr>
              <w:adjustRightInd/>
              <w:jc w:val="center"/>
              <w:rPr>
                <w:rFonts w:ascii="宋体" w:hAnsi="宋体" w:cs="宋体"/>
                <w:color w:val="000000" w:themeColor="text1"/>
                <w:sz w:val="18"/>
                <w:szCs w:val="18"/>
              </w:rPr>
            </w:pPr>
          </w:p>
        </w:tc>
        <w:tc>
          <w:tcPr>
            <w:tcW w:w="1659"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硫磺水分散粒剂（80％）500～750倍液</w:t>
            </w:r>
          </w:p>
        </w:tc>
        <w:tc>
          <w:tcPr>
            <w:tcW w:w="1740" w:type="pct"/>
            <w:vAlign w:val="center"/>
          </w:tcPr>
          <w:p>
            <w:pPr>
              <w:adjustRightInd/>
              <w:rPr>
                <w:rFonts w:ascii="宋体" w:hAnsi="宋体" w:cs="宋体"/>
                <w:color w:val="000000" w:themeColor="text1"/>
                <w:sz w:val="18"/>
                <w:szCs w:val="18"/>
              </w:rPr>
            </w:pPr>
            <w:r>
              <w:rPr>
                <w:rFonts w:hint="eastAsia" w:ascii="宋体" w:hAnsi="宋体" w:cs="宋体"/>
                <w:color w:val="000000" w:themeColor="text1"/>
                <w:sz w:val="18"/>
                <w:szCs w:val="18"/>
              </w:rPr>
              <w:t>每季作物施药2次，间隔7</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d～10</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d。</w:t>
            </w:r>
          </w:p>
        </w:tc>
      </w:tr>
    </w:tbl>
    <w:p>
      <w:pPr>
        <w:pStyle w:val="78"/>
        <w:numPr>
          <w:ilvl w:val="1"/>
          <w:numId w:val="0"/>
        </w:numPr>
        <w:spacing w:before="120" w:after="120"/>
        <w:ind w:left="420"/>
      </w:pPr>
      <w:r>
        <w:rPr>
          <w:rFonts w:hint="eastAsia"/>
        </w:rPr>
        <w:t>表A.1  主要病虫害防治方法</w:t>
      </w:r>
      <w:r>
        <w:rPr>
          <w:rFonts w:hint="eastAsia" w:ascii="宋体" w:hAnsi="宋体" w:eastAsia="宋体" w:cs="宋体"/>
        </w:rPr>
        <w:t>（续）</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2088"/>
        <w:gridCol w:w="3177"/>
        <w:gridCol w:w="33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3" w:type="dxa"/>
            <w:tcBorders>
              <w:bottom w:val="single" w:color="auto" w:sz="8" w:space="0"/>
            </w:tcBorders>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防治对象</w:t>
            </w:r>
          </w:p>
        </w:tc>
        <w:tc>
          <w:tcPr>
            <w:tcW w:w="2088" w:type="dxa"/>
            <w:tcBorders>
              <w:bottom w:val="single" w:color="auto" w:sz="8" w:space="0"/>
            </w:tcBorders>
            <w:vAlign w:val="center"/>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发生时期</w:t>
            </w:r>
          </w:p>
        </w:tc>
        <w:tc>
          <w:tcPr>
            <w:tcW w:w="3177" w:type="dxa"/>
            <w:tcBorders>
              <w:bottom w:val="single" w:color="auto" w:sz="8" w:space="0"/>
            </w:tcBorders>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药剂</w:t>
            </w:r>
          </w:p>
        </w:tc>
        <w:tc>
          <w:tcPr>
            <w:tcW w:w="3332" w:type="dxa"/>
            <w:tcBorders>
              <w:bottom w:val="single" w:color="auto" w:sz="8" w:space="0"/>
            </w:tcBorders>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注意事项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3" w:type="dxa"/>
            <w:vMerge w:val="restart"/>
            <w:tcBorders>
              <w:top w:val="single" w:color="auto" w:sz="8" w:space="0"/>
            </w:tcBorders>
            <w:vAlign w:val="center"/>
          </w:tcPr>
          <w:p>
            <w:pPr>
              <w:adjustRightInd/>
              <w:jc w:val="center"/>
              <w:rPr>
                <w:rFonts w:ascii="宋体" w:hAnsi="宋体" w:cs="宋体"/>
                <w:color w:val="000000" w:themeColor="text1"/>
                <w:sz w:val="18"/>
                <w:szCs w:val="18"/>
              </w:rPr>
            </w:pPr>
            <w:r>
              <w:rPr>
                <w:rFonts w:hint="eastAsia" w:ascii="宋体" w:hAnsi="宋体" w:cs="宋体"/>
                <w:color w:val="000000" w:themeColor="text1"/>
                <w:kern w:val="0"/>
                <w:sz w:val="18"/>
                <w:szCs w:val="18"/>
              </w:rPr>
              <w:t>炭疽病</w:t>
            </w:r>
          </w:p>
        </w:tc>
        <w:tc>
          <w:tcPr>
            <w:tcW w:w="2088" w:type="dxa"/>
            <w:vMerge w:val="restart"/>
            <w:tcBorders>
              <w:top w:val="single" w:color="auto" w:sz="8" w:space="0"/>
            </w:tcBorders>
            <w:vAlign w:val="center"/>
          </w:tcPr>
          <w:p>
            <w:pPr>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果实成熟期重要病害，花后即可危害幼果、果实成熟期爆发。</w:t>
            </w:r>
          </w:p>
        </w:tc>
        <w:tc>
          <w:tcPr>
            <w:tcW w:w="3177" w:type="dxa"/>
            <w:tcBorders>
              <w:top w:val="single" w:color="auto" w:sz="8" w:space="0"/>
            </w:tcBorders>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多抗霉素可溶粒剂（16％）2</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500～3</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000倍液</w:t>
            </w:r>
          </w:p>
        </w:tc>
        <w:tc>
          <w:tcPr>
            <w:tcW w:w="3332" w:type="dxa"/>
            <w:tcBorders>
              <w:top w:val="single" w:color="auto" w:sz="8" w:space="0"/>
            </w:tcBorders>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多抗霉素可溶粒剂（16％）：每隔7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d～10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d施药1次，每季最多使用3次，在葡萄上的安全间隔期为14</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973" w:type="dxa"/>
            <w:vMerge w:val="continue"/>
            <w:vAlign w:val="center"/>
          </w:tcPr>
          <w:p>
            <w:pPr>
              <w:autoSpaceDE w:val="0"/>
              <w:autoSpaceDN w:val="0"/>
              <w:adjustRightInd/>
            </w:pPr>
          </w:p>
        </w:tc>
        <w:tc>
          <w:tcPr>
            <w:tcW w:w="2088" w:type="dxa"/>
            <w:vMerge w:val="continue"/>
            <w:vAlign w:val="center"/>
          </w:tcPr>
          <w:p>
            <w:pPr>
              <w:autoSpaceDE w:val="0"/>
              <w:autoSpaceDN w:val="0"/>
              <w:adjustRightInd/>
              <w:jc w:val="center"/>
            </w:pP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唑醚•氟环唑悬乳剂（17％）800～1</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200倍液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间隔7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d～10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d连续施药，每季最多施药3次。安全间隔期14</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73" w:type="dxa"/>
            <w:vMerge w:val="continue"/>
            <w:vAlign w:val="center"/>
          </w:tcPr>
          <w:p>
            <w:pPr>
              <w:autoSpaceDE w:val="0"/>
              <w:autoSpaceDN w:val="0"/>
              <w:adjustRightInd/>
              <w:rPr>
                <w:rFonts w:ascii="宋体" w:hAnsi="宋体" w:cs="宋体"/>
                <w:color w:val="000000" w:themeColor="text1"/>
                <w:kern w:val="0"/>
                <w:sz w:val="18"/>
                <w:szCs w:val="18"/>
              </w:rPr>
            </w:pPr>
          </w:p>
        </w:tc>
        <w:tc>
          <w:tcPr>
            <w:tcW w:w="2088" w:type="dxa"/>
            <w:vMerge w:val="continue"/>
            <w:vAlign w:val="center"/>
          </w:tcPr>
          <w:p>
            <w:pPr>
              <w:autoSpaceDE w:val="0"/>
              <w:autoSpaceDN w:val="0"/>
              <w:adjustRightInd/>
              <w:jc w:val="center"/>
              <w:rPr>
                <w:rFonts w:ascii="宋体" w:hAnsi="宋体" w:cs="宋体"/>
                <w:color w:val="000000" w:themeColor="text1"/>
                <w:kern w:val="0"/>
                <w:sz w:val="18"/>
                <w:szCs w:val="18"/>
              </w:rPr>
            </w:pP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抑霉唑水乳剂（20％）800～1</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200倍液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每7</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d～10</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d，每667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m</w:t>
            </w:r>
            <w:r>
              <w:rPr>
                <w:rFonts w:hint="eastAsia" w:ascii="宋体" w:hAnsi="宋体" w:cs="宋体"/>
                <w:color w:val="000000" w:themeColor="text1"/>
                <w:kern w:val="0"/>
                <w:sz w:val="18"/>
                <w:szCs w:val="18"/>
                <w:vertAlign w:val="superscript"/>
              </w:rPr>
              <w:t>2</w:t>
            </w:r>
            <w:r>
              <w:rPr>
                <w:rFonts w:hint="eastAsia" w:ascii="宋体" w:hAnsi="宋体" w:cs="宋体"/>
                <w:color w:val="000000" w:themeColor="text1"/>
                <w:kern w:val="0"/>
                <w:sz w:val="18"/>
                <w:szCs w:val="18"/>
              </w:rPr>
              <w:t>用药液量为60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L；每季最多使用3次，安全间隔期为10</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73" w:type="dxa"/>
            <w:vMerge w:val="restart"/>
            <w:vAlign w:val="center"/>
          </w:tcPr>
          <w:p>
            <w:pPr>
              <w:adjustRightInd/>
              <w:jc w:val="center"/>
              <w:rPr>
                <w:rFonts w:ascii="宋体" w:hAnsi="宋体" w:cs="宋体"/>
                <w:color w:val="000000" w:themeColor="text1"/>
                <w:sz w:val="18"/>
                <w:szCs w:val="18"/>
              </w:rPr>
            </w:pPr>
            <w:r>
              <w:rPr>
                <w:rFonts w:hint="eastAsia" w:ascii="宋体" w:hAnsi="宋体" w:cs="宋体"/>
                <w:color w:val="000000" w:themeColor="text1"/>
                <w:kern w:val="0"/>
                <w:sz w:val="18"/>
                <w:szCs w:val="18"/>
              </w:rPr>
              <w:t>灰霉病</w:t>
            </w:r>
          </w:p>
        </w:tc>
        <w:tc>
          <w:tcPr>
            <w:tcW w:w="2088" w:type="dxa"/>
            <w:vMerge w:val="restart"/>
            <w:vAlign w:val="center"/>
          </w:tcPr>
          <w:p>
            <w:pPr>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开花期主要病害，严重影响葡萄花穗，萌芽后至开花前为防治关键期。</w:t>
            </w: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小檗碱水剂（0.5％）1</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每季最多使用3次，间隔10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d才能收获。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73" w:type="dxa"/>
            <w:vMerge w:val="continue"/>
            <w:vAlign w:val="center"/>
          </w:tcPr>
          <w:p>
            <w:pPr>
              <w:autoSpaceDE w:val="0"/>
              <w:autoSpaceDN w:val="0"/>
              <w:adjustRightInd/>
            </w:pPr>
          </w:p>
        </w:tc>
        <w:tc>
          <w:tcPr>
            <w:tcW w:w="2088" w:type="dxa"/>
            <w:vMerge w:val="continue"/>
            <w:vAlign w:val="center"/>
          </w:tcPr>
          <w:p>
            <w:pPr>
              <w:autoSpaceDE w:val="0"/>
              <w:autoSpaceDN w:val="0"/>
              <w:adjustRightInd/>
              <w:jc w:val="center"/>
            </w:pP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哈茨木霉菌可湿性粉剂（3亿CFU/g）200～250倍液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发病初期使用，每3</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d～5</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d施药1次，连续施用2～3次。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73" w:type="dxa"/>
            <w:vMerge w:val="continue"/>
            <w:vAlign w:val="center"/>
          </w:tcPr>
          <w:p>
            <w:pPr>
              <w:autoSpaceDE w:val="0"/>
              <w:autoSpaceDN w:val="0"/>
              <w:adjustRightInd/>
              <w:rPr>
                <w:rFonts w:ascii="宋体" w:hAnsi="宋体" w:cs="宋体"/>
                <w:color w:val="000000" w:themeColor="text1"/>
                <w:kern w:val="0"/>
                <w:sz w:val="18"/>
                <w:szCs w:val="18"/>
              </w:rPr>
            </w:pPr>
          </w:p>
        </w:tc>
        <w:tc>
          <w:tcPr>
            <w:tcW w:w="2088" w:type="dxa"/>
            <w:vMerge w:val="continue"/>
            <w:vAlign w:val="center"/>
          </w:tcPr>
          <w:p>
            <w:pPr>
              <w:autoSpaceDE w:val="0"/>
              <w:autoSpaceDN w:val="0"/>
              <w:adjustRightInd/>
              <w:jc w:val="center"/>
              <w:rPr>
                <w:rFonts w:ascii="宋体" w:hAnsi="宋体" w:cs="宋体"/>
                <w:color w:val="000000" w:themeColor="text1"/>
                <w:kern w:val="0"/>
                <w:sz w:val="18"/>
                <w:szCs w:val="18"/>
              </w:rPr>
            </w:pP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井冈霉素水剂（24％）1 000～2 000倍液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每隔7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d～10</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d施药1次，每季使用2次，安全间隔期为7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973" w:type="dxa"/>
            <w:vMerge w:val="continue"/>
            <w:vAlign w:val="center"/>
          </w:tcPr>
          <w:p>
            <w:pPr>
              <w:autoSpaceDE w:val="0"/>
              <w:autoSpaceDN w:val="0"/>
              <w:adjustRightInd/>
              <w:rPr>
                <w:rFonts w:ascii="宋体" w:hAnsi="宋体" w:cs="宋体"/>
                <w:color w:val="000000" w:themeColor="text1"/>
                <w:kern w:val="0"/>
                <w:sz w:val="18"/>
                <w:szCs w:val="18"/>
              </w:rPr>
            </w:pPr>
          </w:p>
        </w:tc>
        <w:tc>
          <w:tcPr>
            <w:tcW w:w="2088" w:type="dxa"/>
            <w:vMerge w:val="continue"/>
            <w:vAlign w:val="center"/>
          </w:tcPr>
          <w:p>
            <w:pPr>
              <w:autoSpaceDE w:val="0"/>
              <w:autoSpaceDN w:val="0"/>
              <w:adjustRightInd/>
              <w:jc w:val="center"/>
              <w:rPr>
                <w:rFonts w:ascii="宋体" w:hAnsi="宋体" w:cs="宋体"/>
                <w:color w:val="000000" w:themeColor="text1"/>
                <w:kern w:val="0"/>
                <w:sz w:val="18"/>
                <w:szCs w:val="18"/>
              </w:rPr>
            </w:pP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腐霉利可湿性粉剂（50％）1</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000～2</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每隔7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d～10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d施药1次，每季使用2次，安全间隔期为14</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973" w:type="dxa"/>
            <w:vMerge w:val="continue"/>
            <w:vAlign w:val="center"/>
          </w:tcPr>
          <w:p>
            <w:pPr>
              <w:autoSpaceDE w:val="0"/>
              <w:autoSpaceDN w:val="0"/>
              <w:adjustRightInd/>
              <w:rPr>
                <w:rFonts w:ascii="宋体" w:hAnsi="宋体" w:cs="宋体"/>
                <w:color w:val="000000" w:themeColor="text1"/>
                <w:kern w:val="0"/>
                <w:sz w:val="18"/>
                <w:szCs w:val="18"/>
              </w:rPr>
            </w:pPr>
          </w:p>
        </w:tc>
        <w:tc>
          <w:tcPr>
            <w:tcW w:w="2088" w:type="dxa"/>
            <w:vMerge w:val="continue"/>
            <w:vAlign w:val="center"/>
          </w:tcPr>
          <w:p>
            <w:pPr>
              <w:autoSpaceDE w:val="0"/>
              <w:autoSpaceDN w:val="0"/>
              <w:adjustRightInd/>
              <w:jc w:val="center"/>
              <w:rPr>
                <w:rFonts w:ascii="宋体" w:hAnsi="宋体" w:cs="宋体"/>
                <w:color w:val="000000" w:themeColor="text1"/>
                <w:kern w:val="0"/>
                <w:sz w:val="18"/>
                <w:szCs w:val="18"/>
              </w:rPr>
            </w:pP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嘧霉胺悬浮剂（400 g/L）1 000～1 500倍液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每隔7</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d～10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d施药1次，每季使用3次，安全间隔期为7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973" w:type="dxa"/>
            <w:vMerge w:val="restart"/>
            <w:vAlign w:val="center"/>
          </w:tcPr>
          <w:p>
            <w:pPr>
              <w:adjustRightInd/>
              <w:jc w:val="center"/>
              <w:rPr>
                <w:rFonts w:ascii="宋体" w:hAnsi="宋体" w:cs="宋体"/>
                <w:color w:val="000000" w:themeColor="text1"/>
                <w:sz w:val="18"/>
                <w:szCs w:val="18"/>
              </w:rPr>
            </w:pPr>
            <w:r>
              <w:rPr>
                <w:rFonts w:hint="eastAsia" w:ascii="宋体" w:hAnsi="宋体" w:cs="宋体"/>
                <w:color w:val="000000" w:themeColor="text1"/>
                <w:kern w:val="0"/>
                <w:sz w:val="18"/>
                <w:szCs w:val="18"/>
              </w:rPr>
              <w:t>蓟马</w:t>
            </w:r>
          </w:p>
        </w:tc>
        <w:tc>
          <w:tcPr>
            <w:tcW w:w="2088" w:type="dxa"/>
            <w:vMerge w:val="restart"/>
            <w:vAlign w:val="center"/>
          </w:tcPr>
          <w:p>
            <w:pPr>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3月中旬即可发现，严重危害新梢、幼叶、花序、幼果。</w:t>
            </w: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多杀霉素水乳剂（3％）1</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000～1</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500倍液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973" w:type="dxa"/>
            <w:vMerge w:val="continue"/>
            <w:vAlign w:val="center"/>
          </w:tcPr>
          <w:p>
            <w:pPr>
              <w:autoSpaceDE w:val="0"/>
              <w:autoSpaceDN w:val="0"/>
              <w:adjustRightInd/>
            </w:pPr>
          </w:p>
        </w:tc>
        <w:tc>
          <w:tcPr>
            <w:tcW w:w="2088" w:type="dxa"/>
            <w:vMerge w:val="continue"/>
            <w:vAlign w:val="center"/>
          </w:tcPr>
          <w:p>
            <w:pPr>
              <w:autoSpaceDE w:val="0"/>
              <w:autoSpaceDN w:val="0"/>
              <w:adjustRightInd/>
              <w:jc w:val="center"/>
            </w:pP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乙基多杀菌素悬浮剂（60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g/L）1</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000～2</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973" w:type="dxa"/>
            <w:vMerge w:val="continue"/>
            <w:vAlign w:val="center"/>
          </w:tcPr>
          <w:p>
            <w:pPr>
              <w:autoSpaceDE w:val="0"/>
              <w:autoSpaceDN w:val="0"/>
              <w:adjustRightInd/>
              <w:rPr>
                <w:rFonts w:ascii="宋体" w:hAnsi="宋体" w:cs="宋体"/>
                <w:color w:val="000000" w:themeColor="text1"/>
                <w:kern w:val="0"/>
                <w:sz w:val="18"/>
                <w:szCs w:val="18"/>
              </w:rPr>
            </w:pPr>
          </w:p>
        </w:tc>
        <w:tc>
          <w:tcPr>
            <w:tcW w:w="2088" w:type="dxa"/>
            <w:vMerge w:val="continue"/>
            <w:vAlign w:val="center"/>
          </w:tcPr>
          <w:p>
            <w:pPr>
              <w:autoSpaceDE w:val="0"/>
              <w:autoSpaceDN w:val="0"/>
              <w:adjustRightInd/>
              <w:jc w:val="center"/>
              <w:rPr>
                <w:rFonts w:ascii="宋体" w:hAnsi="宋体" w:cs="宋体"/>
                <w:color w:val="000000" w:themeColor="text1"/>
                <w:kern w:val="0"/>
                <w:sz w:val="18"/>
                <w:szCs w:val="18"/>
              </w:rPr>
            </w:pP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噻虫嗪水分散粒剂（25％）3</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w:t>
            </w:r>
          </w:p>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4</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每季最多使用2次，安全间隔期7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973" w:type="dxa"/>
            <w:vMerge w:val="restart"/>
            <w:vAlign w:val="center"/>
          </w:tcPr>
          <w:p>
            <w:pPr>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叶螨类</w:t>
            </w:r>
          </w:p>
        </w:tc>
        <w:tc>
          <w:tcPr>
            <w:tcW w:w="2088" w:type="dxa"/>
            <w:vMerge w:val="restart"/>
            <w:vAlign w:val="center"/>
          </w:tcPr>
          <w:p>
            <w:pPr>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整个发育期间，高温干燥天气易爆发。</w:t>
            </w: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矿物油乳油（97％）100～200倍液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避免在30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℃以上使用，建议在下午4点以后使用。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973" w:type="dxa"/>
            <w:vMerge w:val="continue"/>
            <w:vAlign w:val="center"/>
          </w:tcPr>
          <w:p>
            <w:pPr>
              <w:autoSpaceDE w:val="0"/>
              <w:autoSpaceDN w:val="0"/>
              <w:adjustRightInd/>
            </w:pPr>
          </w:p>
        </w:tc>
        <w:tc>
          <w:tcPr>
            <w:tcW w:w="2088" w:type="dxa"/>
            <w:vMerge w:val="continue"/>
            <w:vAlign w:val="center"/>
          </w:tcPr>
          <w:p>
            <w:pPr>
              <w:autoSpaceDE w:val="0"/>
              <w:autoSpaceDN w:val="0"/>
              <w:adjustRightInd/>
              <w:jc w:val="center"/>
            </w:pP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硫磺水分散粒剂（80％）500～750倍液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sz w:val="18"/>
                <w:szCs w:val="18"/>
              </w:rPr>
              <w:t>每季作物施药2次，间隔7</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d～10</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3" w:type="dxa"/>
            <w:vMerge w:val="continue"/>
            <w:vAlign w:val="center"/>
          </w:tcPr>
          <w:p>
            <w:pPr>
              <w:autoSpaceDE w:val="0"/>
              <w:autoSpaceDN w:val="0"/>
              <w:adjustRightInd/>
              <w:rPr>
                <w:rFonts w:ascii="宋体" w:hAnsi="宋体" w:cs="宋体"/>
                <w:color w:val="000000" w:themeColor="text1"/>
                <w:kern w:val="0"/>
                <w:sz w:val="18"/>
                <w:szCs w:val="18"/>
              </w:rPr>
            </w:pPr>
          </w:p>
        </w:tc>
        <w:tc>
          <w:tcPr>
            <w:tcW w:w="2088" w:type="dxa"/>
            <w:vMerge w:val="continue"/>
            <w:vAlign w:val="center"/>
          </w:tcPr>
          <w:p>
            <w:pPr>
              <w:autoSpaceDE w:val="0"/>
              <w:autoSpaceDN w:val="0"/>
              <w:adjustRightInd/>
              <w:jc w:val="center"/>
              <w:rPr>
                <w:rFonts w:ascii="宋体" w:hAnsi="宋体" w:cs="宋体"/>
                <w:color w:val="000000" w:themeColor="text1"/>
                <w:kern w:val="0"/>
                <w:sz w:val="18"/>
                <w:szCs w:val="18"/>
              </w:rPr>
            </w:pPr>
          </w:p>
        </w:tc>
        <w:tc>
          <w:tcPr>
            <w:tcW w:w="3177"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螺螨酯悬浮剂（240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g/L）4 000～6 000倍液</w:t>
            </w:r>
          </w:p>
        </w:tc>
        <w:tc>
          <w:tcPr>
            <w:tcW w:w="3332" w:type="dxa"/>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每季最多使用1次。</w:t>
            </w:r>
          </w:p>
        </w:tc>
      </w:tr>
    </w:tbl>
    <w:p>
      <w:pPr>
        <w:pStyle w:val="57"/>
        <w:ind w:firstLine="0" w:firstLineChars="0"/>
      </w:pPr>
    </w:p>
    <w:p>
      <w:pPr>
        <w:pStyle w:val="57"/>
        <w:ind w:firstLine="0" w:firstLineChars="0"/>
      </w:pPr>
    </w:p>
    <w:p>
      <w:pPr>
        <w:pStyle w:val="57"/>
        <w:ind w:firstLine="0" w:firstLineChars="0"/>
      </w:pPr>
    </w:p>
    <w:p>
      <w:pPr>
        <w:pStyle w:val="57"/>
        <w:ind w:firstLine="0" w:firstLineChars="0"/>
      </w:pPr>
    </w:p>
    <w:p>
      <w:pPr>
        <w:pStyle w:val="57"/>
        <w:spacing w:beforeLines="50" w:afterLines="50"/>
        <w:ind w:firstLine="0" w:firstLineChars="0"/>
        <w:jc w:val="center"/>
      </w:pPr>
      <w:r>
        <w:rPr>
          <w:rFonts w:hint="eastAsia" w:ascii="黑体" w:hAnsi="黑体" w:eastAsia="黑体" w:cs="黑体"/>
        </w:rPr>
        <w:t>A.1  主要病虫害防治方法</w:t>
      </w:r>
      <w:r>
        <w:rPr>
          <w:rFonts w:hint="eastAsia" w:hAnsi="宋体" w:cs="宋体"/>
        </w:rPr>
        <w:t>（续）</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2088"/>
        <w:gridCol w:w="3177"/>
        <w:gridCol w:w="33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08" w:type="pct"/>
            <w:tcBorders>
              <w:bottom w:val="single" w:color="auto" w:sz="8" w:space="0"/>
            </w:tcBorders>
            <w:vAlign w:val="center"/>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防治对象</w:t>
            </w:r>
          </w:p>
        </w:tc>
        <w:tc>
          <w:tcPr>
            <w:tcW w:w="1090" w:type="pct"/>
            <w:tcBorders>
              <w:bottom w:val="single" w:color="auto" w:sz="8" w:space="0"/>
            </w:tcBorders>
            <w:vAlign w:val="center"/>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发生时期</w:t>
            </w:r>
          </w:p>
        </w:tc>
        <w:tc>
          <w:tcPr>
            <w:tcW w:w="1659" w:type="pct"/>
            <w:tcBorders>
              <w:bottom w:val="single" w:color="auto" w:sz="8" w:space="0"/>
            </w:tcBorders>
            <w:vAlign w:val="center"/>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药剂</w:t>
            </w:r>
          </w:p>
        </w:tc>
        <w:tc>
          <w:tcPr>
            <w:tcW w:w="1740" w:type="pct"/>
            <w:tcBorders>
              <w:bottom w:val="single" w:color="auto" w:sz="8" w:space="0"/>
            </w:tcBorders>
            <w:vAlign w:val="center"/>
          </w:tcPr>
          <w:p>
            <w:pPr>
              <w:widowControl/>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注意事项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508" w:type="pct"/>
            <w:vMerge w:val="restart"/>
            <w:tcBorders>
              <w:top w:val="single" w:color="auto" w:sz="8" w:space="0"/>
            </w:tcBorders>
            <w:vAlign w:val="center"/>
          </w:tcPr>
          <w:p>
            <w:pPr>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斜纹夜蛾</w:t>
            </w:r>
          </w:p>
        </w:tc>
        <w:tc>
          <w:tcPr>
            <w:tcW w:w="1090" w:type="pct"/>
            <w:vMerge w:val="restart"/>
            <w:tcBorders>
              <w:top w:val="single" w:color="auto" w:sz="8" w:space="0"/>
            </w:tcBorders>
            <w:vAlign w:val="center"/>
          </w:tcPr>
          <w:p>
            <w:pPr>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全年均可见，主要危害叶片。</w:t>
            </w:r>
          </w:p>
        </w:tc>
        <w:tc>
          <w:tcPr>
            <w:tcW w:w="1659" w:type="pct"/>
            <w:tcBorders>
              <w:top w:val="single" w:color="auto" w:sz="8" w:space="0"/>
            </w:tcBorders>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斜纹夜蛾核型多角体病毒水分散粒剂（200亿PIB/g）12 000～15</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000倍液</w:t>
            </w:r>
          </w:p>
        </w:tc>
        <w:tc>
          <w:tcPr>
            <w:tcW w:w="1740" w:type="pct"/>
            <w:tcBorders>
              <w:top w:val="single" w:color="auto" w:sz="8" w:space="0"/>
            </w:tcBorders>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视害虫发生情况，每7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d施药1次。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508" w:type="pct"/>
            <w:vMerge w:val="continue"/>
            <w:vAlign w:val="center"/>
          </w:tcPr>
          <w:p>
            <w:pPr>
              <w:autoSpaceDE w:val="0"/>
              <w:autoSpaceDN w:val="0"/>
              <w:adjustRightInd/>
            </w:pPr>
          </w:p>
        </w:tc>
        <w:tc>
          <w:tcPr>
            <w:tcW w:w="1090" w:type="pct"/>
            <w:vMerge w:val="continue"/>
            <w:vAlign w:val="center"/>
          </w:tcPr>
          <w:p>
            <w:pPr>
              <w:autoSpaceDE w:val="0"/>
              <w:autoSpaceDN w:val="0"/>
              <w:adjustRightInd/>
              <w:jc w:val="center"/>
            </w:pP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苏云金杆菌水分散粒剂（15</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IU/mL）1 000倍液</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视害虫发生情况，每</w:t>
            </w:r>
            <w:r>
              <w:rPr>
                <w:rFonts w:hint="eastAsia" w:ascii="宋体" w:hAnsi="宋体" w:cs="宋体"/>
                <w:color w:val="000000" w:themeColor="text1"/>
                <w:sz w:val="18"/>
                <w:szCs w:val="18"/>
              </w:rPr>
              <w:t>7</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d～15</w:t>
            </w:r>
            <w:r>
              <w:rPr>
                <w:rFonts w:hint="eastAsia" w:ascii="宋体" w:hAnsi="宋体" w:cs="宋体"/>
                <w:color w:val="000000" w:themeColor="text1"/>
                <w:sz w:val="18"/>
                <w:szCs w:val="18"/>
                <w:vertAlign w:val="superscript"/>
              </w:rPr>
              <w:t xml:space="preserve"> </w:t>
            </w:r>
            <w:r>
              <w:rPr>
                <w:rFonts w:hint="eastAsia" w:ascii="宋体" w:hAnsi="宋体" w:cs="宋体"/>
                <w:color w:val="000000" w:themeColor="text1"/>
                <w:sz w:val="18"/>
                <w:szCs w:val="18"/>
              </w:rPr>
              <w:t>d</w:t>
            </w:r>
            <w:r>
              <w:rPr>
                <w:rFonts w:hint="eastAsia" w:ascii="宋体" w:hAnsi="宋体" w:cs="宋体"/>
                <w:color w:val="000000" w:themeColor="text1"/>
                <w:kern w:val="0"/>
                <w:sz w:val="18"/>
                <w:szCs w:val="18"/>
              </w:rPr>
              <w:t>施药1次，建议与不同作用机制杀虫剂轮换使用。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508" w:type="pct"/>
            <w:vMerge w:val="continue"/>
            <w:vAlign w:val="center"/>
          </w:tcPr>
          <w:p>
            <w:pPr>
              <w:autoSpaceDE w:val="0"/>
              <w:autoSpaceDN w:val="0"/>
              <w:adjustRightInd/>
              <w:rPr>
                <w:rFonts w:ascii="宋体" w:hAnsi="宋体" w:cs="宋体"/>
                <w:color w:val="000000" w:themeColor="text1"/>
                <w:kern w:val="0"/>
                <w:sz w:val="18"/>
                <w:szCs w:val="18"/>
              </w:rPr>
            </w:pPr>
          </w:p>
        </w:tc>
        <w:tc>
          <w:tcPr>
            <w:tcW w:w="1090" w:type="pct"/>
            <w:vMerge w:val="continue"/>
            <w:vAlign w:val="center"/>
          </w:tcPr>
          <w:p>
            <w:pPr>
              <w:autoSpaceDE w:val="0"/>
              <w:autoSpaceDN w:val="0"/>
              <w:adjustRightInd/>
              <w:jc w:val="center"/>
              <w:rPr>
                <w:rFonts w:ascii="宋体" w:hAnsi="宋体" w:cs="宋体"/>
                <w:color w:val="000000" w:themeColor="text1"/>
                <w:kern w:val="0"/>
                <w:sz w:val="18"/>
                <w:szCs w:val="18"/>
              </w:rPr>
            </w:pP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乙基多杀菌素（60 g/L）1</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000～2</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000倍液</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每季最多使用3次。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508" w:type="pct"/>
            <w:vMerge w:val="restart"/>
            <w:vAlign w:val="center"/>
          </w:tcPr>
          <w:p>
            <w:pPr>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金龟子</w:t>
            </w:r>
          </w:p>
        </w:tc>
        <w:tc>
          <w:tcPr>
            <w:tcW w:w="1090" w:type="pct"/>
            <w:vMerge w:val="restart"/>
            <w:vAlign w:val="center"/>
          </w:tcPr>
          <w:p>
            <w:pPr>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昼伏夜出，全年可见，萌芽期危害最严重。</w:t>
            </w: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金龟子绿僵菌CQMa421颗粒剂（2亿孢子/克）4</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kg/667m</w:t>
            </w:r>
            <w:r>
              <w:rPr>
                <w:rFonts w:hint="eastAsia" w:ascii="宋体" w:hAnsi="宋体" w:cs="宋体"/>
                <w:color w:val="000000" w:themeColor="text1"/>
                <w:kern w:val="0"/>
                <w:sz w:val="18"/>
                <w:szCs w:val="18"/>
                <w:vertAlign w:val="superscript"/>
              </w:rPr>
              <w:t>2</w:t>
            </w:r>
            <w:r>
              <w:rPr>
                <w:rFonts w:hint="eastAsia" w:ascii="宋体" w:hAnsi="宋体" w:cs="宋体"/>
                <w:color w:val="000000" w:themeColor="text1"/>
                <w:kern w:val="0"/>
                <w:sz w:val="18"/>
                <w:szCs w:val="18"/>
              </w:rPr>
              <w:t>～6</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kg/667m</w:t>
            </w:r>
            <w:r>
              <w:rPr>
                <w:rFonts w:hint="eastAsia" w:ascii="宋体" w:hAnsi="宋体" w:cs="宋体"/>
                <w:color w:val="000000" w:themeColor="text1"/>
                <w:kern w:val="0"/>
                <w:sz w:val="18"/>
                <w:szCs w:val="18"/>
                <w:vertAlign w:val="superscript"/>
              </w:rPr>
              <w:t>2</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撒施，在害虫卵孵化盛期或低龄幼虫期使用效果更佳。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508" w:type="pct"/>
            <w:vMerge w:val="continue"/>
            <w:vAlign w:val="center"/>
          </w:tcPr>
          <w:p>
            <w:pPr>
              <w:autoSpaceDE w:val="0"/>
              <w:autoSpaceDN w:val="0"/>
              <w:adjustRightInd/>
            </w:pPr>
          </w:p>
        </w:tc>
        <w:tc>
          <w:tcPr>
            <w:tcW w:w="1090" w:type="pct"/>
            <w:vMerge w:val="continue"/>
            <w:vAlign w:val="center"/>
          </w:tcPr>
          <w:p>
            <w:pPr>
              <w:autoSpaceDE w:val="0"/>
              <w:autoSpaceDN w:val="0"/>
              <w:adjustRightInd/>
              <w:jc w:val="center"/>
            </w:pP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球孢白僵菌可湿性粉剂（150亿个孢子/克）</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拌毒土撒施，避免在高温和下雨天气施药。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508" w:type="pct"/>
            <w:vMerge w:val="continue"/>
            <w:vAlign w:val="center"/>
          </w:tcPr>
          <w:p>
            <w:pPr>
              <w:autoSpaceDE w:val="0"/>
              <w:autoSpaceDN w:val="0"/>
              <w:adjustRightInd/>
              <w:rPr>
                <w:rFonts w:ascii="宋体" w:hAnsi="宋体" w:cs="宋体"/>
                <w:color w:val="000000" w:themeColor="text1"/>
                <w:kern w:val="0"/>
                <w:sz w:val="18"/>
                <w:szCs w:val="18"/>
              </w:rPr>
            </w:pPr>
          </w:p>
        </w:tc>
        <w:tc>
          <w:tcPr>
            <w:tcW w:w="1090" w:type="pct"/>
            <w:vMerge w:val="continue"/>
            <w:vAlign w:val="center"/>
          </w:tcPr>
          <w:p>
            <w:pPr>
              <w:autoSpaceDE w:val="0"/>
              <w:autoSpaceDN w:val="0"/>
              <w:adjustRightInd/>
              <w:jc w:val="center"/>
              <w:rPr>
                <w:rFonts w:ascii="宋体" w:hAnsi="宋体" w:cs="宋体"/>
                <w:color w:val="000000" w:themeColor="text1"/>
                <w:kern w:val="0"/>
                <w:sz w:val="18"/>
                <w:szCs w:val="18"/>
              </w:rPr>
            </w:pP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辛硫磷颗粒剂（3％）4</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sz w:val="18"/>
                <w:szCs w:val="18"/>
              </w:rPr>
              <w:t>g/667m</w:t>
            </w:r>
            <w:r>
              <w:rPr>
                <w:rFonts w:hint="eastAsia" w:ascii="宋体" w:hAnsi="宋体" w:cs="宋体"/>
                <w:color w:val="000000" w:themeColor="text1"/>
                <w:sz w:val="18"/>
                <w:szCs w:val="18"/>
                <w:vertAlign w:val="superscript"/>
              </w:rPr>
              <w:t>2</w:t>
            </w:r>
            <w:r>
              <w:rPr>
                <w:rFonts w:hint="eastAsia" w:ascii="宋体" w:hAnsi="宋体" w:cs="宋体"/>
                <w:color w:val="000000" w:themeColor="text1"/>
                <w:kern w:val="0"/>
                <w:sz w:val="18"/>
                <w:szCs w:val="18"/>
              </w:rPr>
              <w:t>～8</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sz w:val="18"/>
                <w:szCs w:val="18"/>
              </w:rPr>
              <w:t>g/667m</w:t>
            </w:r>
            <w:r>
              <w:rPr>
                <w:rFonts w:hint="eastAsia" w:ascii="宋体" w:hAnsi="宋体" w:cs="宋体"/>
                <w:color w:val="000000" w:themeColor="text1"/>
                <w:sz w:val="18"/>
                <w:szCs w:val="18"/>
                <w:vertAlign w:val="superscript"/>
              </w:rPr>
              <w:t>2</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穴施、沟施或撒施。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508" w:type="pct"/>
            <w:vMerge w:val="continue"/>
            <w:vAlign w:val="center"/>
          </w:tcPr>
          <w:p>
            <w:pPr>
              <w:autoSpaceDE w:val="0"/>
              <w:autoSpaceDN w:val="0"/>
              <w:adjustRightInd/>
              <w:rPr>
                <w:rFonts w:ascii="宋体" w:hAnsi="宋体" w:cs="宋体"/>
                <w:color w:val="000000" w:themeColor="text1"/>
                <w:kern w:val="0"/>
                <w:sz w:val="18"/>
                <w:szCs w:val="18"/>
              </w:rPr>
            </w:pPr>
          </w:p>
        </w:tc>
        <w:tc>
          <w:tcPr>
            <w:tcW w:w="1090" w:type="pct"/>
            <w:vMerge w:val="continue"/>
            <w:vAlign w:val="center"/>
          </w:tcPr>
          <w:p>
            <w:pPr>
              <w:autoSpaceDE w:val="0"/>
              <w:autoSpaceDN w:val="0"/>
              <w:adjustRightInd/>
              <w:jc w:val="center"/>
              <w:rPr>
                <w:rFonts w:ascii="宋体" w:hAnsi="宋体" w:cs="宋体"/>
                <w:color w:val="000000" w:themeColor="text1"/>
                <w:kern w:val="0"/>
                <w:sz w:val="18"/>
                <w:szCs w:val="18"/>
              </w:rPr>
            </w:pP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kern w:val="0"/>
                <w:sz w:val="18"/>
                <w:szCs w:val="18"/>
              </w:rPr>
              <w:t>苦参碱水剂（1.3％）1</w:t>
            </w:r>
            <w:r>
              <w:rPr>
                <w:rFonts w:hint="eastAsia" w:ascii="宋体" w:hAnsi="宋体" w:cs="宋体"/>
                <w:kern w:val="0"/>
                <w:sz w:val="18"/>
                <w:szCs w:val="18"/>
                <w:vertAlign w:val="superscript"/>
              </w:rPr>
              <w:t xml:space="preserve"> </w:t>
            </w:r>
            <w:r>
              <w:rPr>
                <w:rFonts w:hint="eastAsia" w:ascii="宋体" w:hAnsi="宋体" w:cs="宋体"/>
                <w:kern w:val="0"/>
                <w:sz w:val="18"/>
                <w:szCs w:val="18"/>
              </w:rPr>
              <w:t>500</w:t>
            </w:r>
            <w:r>
              <w:rPr>
                <w:rFonts w:hint="eastAsia" w:ascii="宋体" w:hAnsi="宋体" w:cs="宋体"/>
                <w:color w:val="000000" w:themeColor="text1"/>
                <w:kern w:val="0"/>
                <w:sz w:val="18"/>
                <w:szCs w:val="18"/>
              </w:rPr>
              <w:t>～</w:t>
            </w:r>
            <w:r>
              <w:rPr>
                <w:rFonts w:hint="eastAsia" w:ascii="宋体" w:hAnsi="宋体" w:cs="宋体"/>
                <w:kern w:val="0"/>
                <w:sz w:val="18"/>
                <w:szCs w:val="18"/>
              </w:rPr>
              <w:t>2</w:t>
            </w:r>
            <w:r>
              <w:rPr>
                <w:rFonts w:hint="eastAsia" w:ascii="宋体" w:hAnsi="宋体" w:cs="宋体"/>
                <w:kern w:val="0"/>
                <w:sz w:val="18"/>
                <w:szCs w:val="18"/>
                <w:vertAlign w:val="subscript"/>
              </w:rPr>
              <w:t xml:space="preserve"> </w:t>
            </w:r>
            <w:r>
              <w:rPr>
                <w:rFonts w:hint="eastAsia" w:ascii="宋体" w:hAnsi="宋体" w:cs="宋体"/>
                <w:kern w:val="0"/>
                <w:sz w:val="18"/>
                <w:szCs w:val="18"/>
              </w:rPr>
              <w:t>000倍液</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每季最多使用2次，傍晚喷施。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508" w:type="pct"/>
            <w:vMerge w:val="restart"/>
            <w:vAlign w:val="center"/>
          </w:tcPr>
          <w:p>
            <w:pPr>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叶蝉</w:t>
            </w:r>
          </w:p>
        </w:tc>
        <w:tc>
          <w:tcPr>
            <w:tcW w:w="1090" w:type="pct"/>
            <w:vMerge w:val="restart"/>
            <w:vAlign w:val="center"/>
          </w:tcPr>
          <w:p>
            <w:pPr>
              <w:autoSpaceDE w:val="0"/>
              <w:autoSpaceDN w:val="0"/>
              <w:adjustRightInd/>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6～11月，危害叶片。</w:t>
            </w: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藜芦碱可溶液剂（0.5％）600～800倍液</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508" w:type="pct"/>
            <w:vMerge w:val="continue"/>
            <w:vAlign w:val="center"/>
          </w:tcPr>
          <w:p>
            <w:pPr>
              <w:autoSpaceDE w:val="0"/>
              <w:autoSpaceDN w:val="0"/>
              <w:adjustRightInd/>
            </w:pPr>
          </w:p>
        </w:tc>
        <w:tc>
          <w:tcPr>
            <w:tcW w:w="1090" w:type="pct"/>
            <w:vMerge w:val="continue"/>
            <w:vAlign w:val="center"/>
          </w:tcPr>
          <w:p>
            <w:pPr>
              <w:autoSpaceDE w:val="0"/>
              <w:autoSpaceDN w:val="0"/>
              <w:adjustRightInd/>
            </w:pP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金龟子绿僵菌可分散油悬浮剂（80亿孢子/mL）</w:t>
            </w:r>
            <w:r>
              <w:rPr>
                <w:rFonts w:hint="eastAsia" w:ascii="宋体" w:hAnsi="宋体" w:cs="宋体"/>
                <w:color w:val="000000" w:themeColor="text1"/>
                <w:kern w:val="0"/>
                <w:sz w:val="18"/>
                <w:szCs w:val="18"/>
              </w:rPr>
              <w:tab/>
            </w:r>
            <w:r>
              <w:rPr>
                <w:rFonts w:hint="eastAsia" w:ascii="宋体" w:hAnsi="宋体" w:cs="宋体"/>
                <w:color w:val="000000" w:themeColor="text1"/>
                <w:kern w:val="0"/>
                <w:sz w:val="18"/>
                <w:szCs w:val="18"/>
              </w:rPr>
              <w:t>40 mL/667m</w:t>
            </w:r>
            <w:r>
              <w:rPr>
                <w:rFonts w:hint="eastAsia" w:ascii="宋体" w:hAnsi="宋体" w:cs="宋体"/>
                <w:color w:val="000000" w:themeColor="text1"/>
                <w:kern w:val="0"/>
                <w:sz w:val="18"/>
                <w:szCs w:val="18"/>
                <w:vertAlign w:val="superscript"/>
              </w:rPr>
              <w:t>2</w:t>
            </w:r>
            <w:r>
              <w:rPr>
                <w:rFonts w:hint="eastAsia" w:ascii="宋体" w:hAnsi="宋体" w:cs="宋体"/>
                <w:color w:val="000000" w:themeColor="text1"/>
                <w:kern w:val="0"/>
                <w:sz w:val="18"/>
                <w:szCs w:val="18"/>
              </w:rPr>
              <w:t>～60 mL/667m</w:t>
            </w:r>
            <w:r>
              <w:rPr>
                <w:rFonts w:hint="eastAsia" w:ascii="宋体" w:hAnsi="宋体" w:cs="宋体"/>
                <w:color w:val="000000" w:themeColor="text1"/>
                <w:kern w:val="0"/>
                <w:sz w:val="18"/>
                <w:szCs w:val="18"/>
                <w:vertAlign w:val="superscript"/>
              </w:rPr>
              <w:t>2</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视害虫发生情况，喷雾使用，避免与杀菌剂混用。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8" w:type="pct"/>
            <w:vMerge w:val="continue"/>
            <w:vAlign w:val="center"/>
          </w:tcPr>
          <w:p>
            <w:pPr>
              <w:autoSpaceDE w:val="0"/>
              <w:autoSpaceDN w:val="0"/>
              <w:adjustRightInd/>
              <w:rPr>
                <w:rFonts w:ascii="宋体" w:hAnsi="宋体" w:cs="宋体"/>
                <w:color w:val="000000" w:themeColor="text1"/>
                <w:kern w:val="0"/>
                <w:sz w:val="18"/>
                <w:szCs w:val="18"/>
              </w:rPr>
            </w:pPr>
          </w:p>
        </w:tc>
        <w:tc>
          <w:tcPr>
            <w:tcW w:w="1090" w:type="pct"/>
            <w:vMerge w:val="continue"/>
            <w:vAlign w:val="center"/>
          </w:tcPr>
          <w:p>
            <w:pPr>
              <w:autoSpaceDE w:val="0"/>
              <w:autoSpaceDN w:val="0"/>
              <w:adjustRightInd/>
              <w:rPr>
                <w:rFonts w:ascii="宋体" w:hAnsi="宋体" w:cs="宋体"/>
                <w:color w:val="000000" w:themeColor="text1"/>
                <w:kern w:val="0"/>
                <w:sz w:val="18"/>
                <w:szCs w:val="18"/>
              </w:rPr>
            </w:pP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苦参碱水剂（1.3％）2</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000倍液</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每季最多使用2次。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508" w:type="pct"/>
            <w:vMerge w:val="continue"/>
            <w:vAlign w:val="center"/>
          </w:tcPr>
          <w:p>
            <w:pPr>
              <w:autoSpaceDE w:val="0"/>
              <w:autoSpaceDN w:val="0"/>
              <w:adjustRightInd/>
              <w:rPr>
                <w:rFonts w:ascii="宋体" w:hAnsi="宋体" w:cs="宋体"/>
                <w:color w:val="000000" w:themeColor="text1"/>
                <w:kern w:val="0"/>
                <w:sz w:val="18"/>
                <w:szCs w:val="18"/>
              </w:rPr>
            </w:pPr>
          </w:p>
        </w:tc>
        <w:tc>
          <w:tcPr>
            <w:tcW w:w="1090" w:type="pct"/>
            <w:vMerge w:val="continue"/>
            <w:vAlign w:val="center"/>
          </w:tcPr>
          <w:p>
            <w:pPr>
              <w:autoSpaceDE w:val="0"/>
              <w:autoSpaceDN w:val="0"/>
              <w:adjustRightInd/>
              <w:rPr>
                <w:rFonts w:ascii="宋体" w:hAnsi="宋体" w:cs="宋体"/>
                <w:color w:val="000000" w:themeColor="text1"/>
                <w:kern w:val="0"/>
                <w:sz w:val="18"/>
                <w:szCs w:val="18"/>
              </w:rPr>
            </w:pP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噻虫嗪水分散粒剂（25％）3</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000～4</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000倍液</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每季最多使用2次，安全间隔期7</w:t>
            </w:r>
            <w:r>
              <w:rPr>
                <w:rFonts w:hint="eastAsia" w:ascii="宋体" w:hAnsi="宋体" w:cs="宋体"/>
                <w:color w:val="000000" w:themeColor="text1"/>
                <w:kern w:val="0"/>
                <w:sz w:val="18"/>
                <w:szCs w:val="18"/>
                <w:vertAlign w:val="superscript"/>
              </w:rPr>
              <w:t xml:space="preserve"> </w:t>
            </w:r>
            <w:r>
              <w:rPr>
                <w:rFonts w:hint="eastAsia" w:ascii="宋体" w:hAnsi="宋体" w:cs="宋体"/>
                <w:color w:val="000000" w:themeColor="text1"/>
                <w:kern w:val="0"/>
                <w:sz w:val="18"/>
                <w:szCs w:val="18"/>
              </w:rPr>
              <w:t>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508" w:type="pct"/>
            <w:vMerge w:val="continue"/>
            <w:vAlign w:val="center"/>
          </w:tcPr>
          <w:p>
            <w:pPr>
              <w:autoSpaceDE w:val="0"/>
              <w:autoSpaceDN w:val="0"/>
              <w:adjustRightInd/>
              <w:rPr>
                <w:rFonts w:ascii="宋体" w:hAnsi="宋体" w:cs="宋体"/>
                <w:color w:val="000000" w:themeColor="text1"/>
                <w:kern w:val="0"/>
                <w:sz w:val="18"/>
                <w:szCs w:val="18"/>
              </w:rPr>
            </w:pPr>
          </w:p>
        </w:tc>
        <w:tc>
          <w:tcPr>
            <w:tcW w:w="1090" w:type="pct"/>
            <w:vMerge w:val="continue"/>
            <w:vAlign w:val="center"/>
          </w:tcPr>
          <w:p>
            <w:pPr>
              <w:autoSpaceDE w:val="0"/>
              <w:autoSpaceDN w:val="0"/>
              <w:adjustRightInd/>
              <w:rPr>
                <w:rFonts w:ascii="宋体" w:hAnsi="宋体" w:cs="宋体"/>
                <w:color w:val="000000" w:themeColor="text1"/>
                <w:kern w:val="0"/>
                <w:sz w:val="18"/>
                <w:szCs w:val="18"/>
              </w:rPr>
            </w:pPr>
          </w:p>
        </w:tc>
        <w:tc>
          <w:tcPr>
            <w:tcW w:w="1659"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啶虫脒水分散粒剂（50％）2</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g/667m</w:t>
            </w:r>
            <w:r>
              <w:rPr>
                <w:rFonts w:hint="eastAsia" w:ascii="宋体" w:hAnsi="宋体" w:cs="宋体"/>
                <w:color w:val="000000" w:themeColor="text1"/>
                <w:kern w:val="0"/>
                <w:sz w:val="18"/>
                <w:szCs w:val="18"/>
                <w:vertAlign w:val="superscript"/>
              </w:rPr>
              <w:t>2</w:t>
            </w:r>
            <w:r>
              <w:rPr>
                <w:rFonts w:hint="eastAsia" w:ascii="宋体" w:hAnsi="宋体" w:cs="宋体"/>
                <w:color w:val="000000" w:themeColor="text1"/>
                <w:kern w:val="0"/>
                <w:sz w:val="18"/>
                <w:szCs w:val="18"/>
              </w:rPr>
              <w:t>～3</w:t>
            </w:r>
            <w:r>
              <w:rPr>
                <w:rFonts w:hint="eastAsia" w:ascii="宋体" w:hAnsi="宋体" w:cs="宋体"/>
                <w:color w:val="000000" w:themeColor="text1"/>
                <w:kern w:val="0"/>
                <w:sz w:val="18"/>
                <w:szCs w:val="18"/>
                <w:vertAlign w:val="subscript"/>
              </w:rPr>
              <w:t xml:space="preserve"> </w:t>
            </w:r>
            <w:r>
              <w:rPr>
                <w:rFonts w:hint="eastAsia" w:ascii="宋体" w:hAnsi="宋体" w:cs="宋体"/>
                <w:color w:val="000000" w:themeColor="text1"/>
                <w:kern w:val="0"/>
                <w:sz w:val="18"/>
                <w:szCs w:val="18"/>
              </w:rPr>
              <w:t>g/667m</w:t>
            </w:r>
            <w:r>
              <w:rPr>
                <w:rFonts w:hint="eastAsia" w:ascii="宋体" w:hAnsi="宋体" w:cs="宋体"/>
                <w:color w:val="000000" w:themeColor="text1"/>
                <w:kern w:val="0"/>
                <w:sz w:val="18"/>
                <w:szCs w:val="18"/>
                <w:vertAlign w:val="superscript"/>
              </w:rPr>
              <w:t>2</w:t>
            </w:r>
          </w:p>
        </w:tc>
        <w:tc>
          <w:tcPr>
            <w:tcW w:w="1740" w:type="pct"/>
            <w:vAlign w:val="center"/>
          </w:tcPr>
          <w:p>
            <w:pPr>
              <w:autoSpaceDE w:val="0"/>
              <w:autoSpaceDN w:val="0"/>
              <w:adjustRightInd/>
              <w:rPr>
                <w:rFonts w:ascii="宋体" w:hAnsi="宋体" w:cs="宋体"/>
                <w:color w:val="000000" w:themeColor="text1"/>
                <w:kern w:val="0"/>
                <w:sz w:val="18"/>
                <w:szCs w:val="18"/>
              </w:rPr>
            </w:pPr>
            <w:r>
              <w:rPr>
                <w:rFonts w:hint="eastAsia" w:ascii="宋体" w:hAnsi="宋体" w:cs="宋体"/>
                <w:color w:val="000000" w:themeColor="text1"/>
                <w:kern w:val="0"/>
                <w:sz w:val="18"/>
                <w:szCs w:val="18"/>
              </w:rPr>
              <w:t>每季最多使用1次。</w:t>
            </w:r>
          </w:p>
        </w:tc>
      </w:tr>
      <w:bookmarkEnd w:id="39"/>
    </w:tbl>
    <w:p>
      <w:pPr>
        <w:pStyle w:val="57"/>
        <w:ind w:firstLine="0" w:firstLineChars="0"/>
        <w:jc w:val="center"/>
      </w:pPr>
      <w:bookmarkStart w:id="40" w:name="BookMark8"/>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cstate="print"/>
                    <a:stretch>
                      <a:fillRect/>
                    </a:stretch>
                  </pic:blipFill>
                  <pic:spPr>
                    <a:xfrm>
                      <a:off x="0" y="0"/>
                      <a:ext cx="1485900" cy="317500"/>
                    </a:xfrm>
                    <a:prstGeom prst="rect">
                      <a:avLst/>
                    </a:prstGeom>
                  </pic:spPr>
                </pic:pic>
              </a:graphicData>
            </a:graphic>
          </wp:inline>
        </w:drawing>
      </w:r>
      <w:bookmarkEnd w:id="40"/>
    </w:p>
    <w:sectPr>
      <w:headerReference r:id="rId13" w:type="default"/>
      <w:footerReference r:id="rId15" w:type="default"/>
      <w:headerReference r:id="rId14" w:type="even"/>
      <w:footerReference r:id="rId16" w:type="even"/>
      <w:pgSz w:w="11906" w:h="16838"/>
      <w:pgMar w:top="567"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altName w:val="Times New Roman"/>
    <w:panose1 w:val="00000000000000000000"/>
    <w:charset w:val="00"/>
    <w:family w:val="roman"/>
    <w:pitch w:val="default"/>
    <w:sig w:usb0="00000000" w:usb1="00000000" w:usb2="00000000" w:usb3="00000000" w:csb0="00000093"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7</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XXXX—2021</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XXXX—2021</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8" w:firstLine="0"/>
      </w:pPr>
      <w:rPr>
        <w:rFonts w:ascii="黑体" w:eastAsia="黑体"/>
        <w:b w:val="0"/>
        <w:i w:val="0"/>
        <w:caps w:val="0"/>
        <w:smallCaps w:val="0"/>
        <w:strike w:val="0"/>
        <w:vanish w:val="0"/>
        <w:spacing w:val="0"/>
        <w:sz w:val="21"/>
        <w:u w:val="none"/>
        <w:lang w:val="en-US" w:eastAsia="zh-CN" w:bidi="ar-SA"/>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85A"/>
    <w:rsid w:val="0000040A"/>
    <w:rsid w:val="00000A94"/>
    <w:rsid w:val="00001972"/>
    <w:rsid w:val="00001D9A"/>
    <w:rsid w:val="00007B3A"/>
    <w:rsid w:val="000107E0"/>
    <w:rsid w:val="00011FDE"/>
    <w:rsid w:val="00012FFD"/>
    <w:rsid w:val="00013C71"/>
    <w:rsid w:val="00014162"/>
    <w:rsid w:val="00014340"/>
    <w:rsid w:val="00016A9C"/>
    <w:rsid w:val="00016D4C"/>
    <w:rsid w:val="00022184"/>
    <w:rsid w:val="00022762"/>
    <w:rsid w:val="000238E0"/>
    <w:rsid w:val="000249DB"/>
    <w:rsid w:val="00024C81"/>
    <w:rsid w:val="0002595E"/>
    <w:rsid w:val="000278EA"/>
    <w:rsid w:val="000303C3"/>
    <w:rsid w:val="00030CD6"/>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5C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12CF"/>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C3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071C"/>
    <w:rsid w:val="001A1A53"/>
    <w:rsid w:val="001A234A"/>
    <w:rsid w:val="001A4CF3"/>
    <w:rsid w:val="001A6185"/>
    <w:rsid w:val="001A6696"/>
    <w:rsid w:val="001B06E8"/>
    <w:rsid w:val="001B39E5"/>
    <w:rsid w:val="001B71D0"/>
    <w:rsid w:val="001B71EE"/>
    <w:rsid w:val="001C04A8"/>
    <w:rsid w:val="001C0C55"/>
    <w:rsid w:val="001C2C03"/>
    <w:rsid w:val="001C42F7"/>
    <w:rsid w:val="001C49E5"/>
    <w:rsid w:val="001C680C"/>
    <w:rsid w:val="001C7FEA"/>
    <w:rsid w:val="001D0499"/>
    <w:rsid w:val="001D0BBE"/>
    <w:rsid w:val="001D0ED4"/>
    <w:rsid w:val="001D1D0A"/>
    <w:rsid w:val="001D212F"/>
    <w:rsid w:val="001D29D7"/>
    <w:rsid w:val="001D2DE7"/>
    <w:rsid w:val="001D411C"/>
    <w:rsid w:val="001E1B6A"/>
    <w:rsid w:val="001E2484"/>
    <w:rsid w:val="001E3CC4"/>
    <w:rsid w:val="001E4882"/>
    <w:rsid w:val="001E693D"/>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1C7"/>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02B"/>
    <w:rsid w:val="00281BB8"/>
    <w:rsid w:val="00281E9E"/>
    <w:rsid w:val="00282405"/>
    <w:rsid w:val="00285170"/>
    <w:rsid w:val="00285361"/>
    <w:rsid w:val="00292D60"/>
    <w:rsid w:val="00293B30"/>
    <w:rsid w:val="00294D34"/>
    <w:rsid w:val="00294E3B"/>
    <w:rsid w:val="00295A76"/>
    <w:rsid w:val="00296193"/>
    <w:rsid w:val="00296C66"/>
    <w:rsid w:val="00296EBE"/>
    <w:rsid w:val="002974E3"/>
    <w:rsid w:val="002A084B"/>
    <w:rsid w:val="002A1260"/>
    <w:rsid w:val="002A1589"/>
    <w:rsid w:val="002A1608"/>
    <w:rsid w:val="002A16DF"/>
    <w:rsid w:val="002A25DC"/>
    <w:rsid w:val="002A2A7E"/>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BE8"/>
    <w:rsid w:val="002F30E0"/>
    <w:rsid w:val="002F35E4"/>
    <w:rsid w:val="002F3730"/>
    <w:rsid w:val="002F38E1"/>
    <w:rsid w:val="002F7AF6"/>
    <w:rsid w:val="003004D3"/>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46DA"/>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818"/>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77C"/>
    <w:rsid w:val="003A3D9C"/>
    <w:rsid w:val="003A4077"/>
    <w:rsid w:val="003A4AA7"/>
    <w:rsid w:val="003B09AD"/>
    <w:rsid w:val="003B1B66"/>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17DA"/>
    <w:rsid w:val="003F23D3"/>
    <w:rsid w:val="003F3F08"/>
    <w:rsid w:val="003F49F1"/>
    <w:rsid w:val="003F6272"/>
    <w:rsid w:val="003F774D"/>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6FDD"/>
    <w:rsid w:val="00452D6B"/>
    <w:rsid w:val="00454484"/>
    <w:rsid w:val="0045517B"/>
    <w:rsid w:val="00463B77"/>
    <w:rsid w:val="00463C7B"/>
    <w:rsid w:val="004644A6"/>
    <w:rsid w:val="004659BD"/>
    <w:rsid w:val="00470775"/>
    <w:rsid w:val="004746B1"/>
    <w:rsid w:val="0047583F"/>
    <w:rsid w:val="00475DE8"/>
    <w:rsid w:val="00481A75"/>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DA5"/>
    <w:rsid w:val="004B2E1B"/>
    <w:rsid w:val="004B3AA8"/>
    <w:rsid w:val="004B3E93"/>
    <w:rsid w:val="004B71E8"/>
    <w:rsid w:val="004C0785"/>
    <w:rsid w:val="004C1FBC"/>
    <w:rsid w:val="004C2336"/>
    <w:rsid w:val="004C25A2"/>
    <w:rsid w:val="004C3F1D"/>
    <w:rsid w:val="004C458D"/>
    <w:rsid w:val="004C4676"/>
    <w:rsid w:val="004C7556"/>
    <w:rsid w:val="004C7E8B"/>
    <w:rsid w:val="004C7E9D"/>
    <w:rsid w:val="004C7F67"/>
    <w:rsid w:val="004D076D"/>
    <w:rsid w:val="004D0EF1"/>
    <w:rsid w:val="004D2253"/>
    <w:rsid w:val="004D4406"/>
    <w:rsid w:val="004D7C42"/>
    <w:rsid w:val="004E0465"/>
    <w:rsid w:val="004E127B"/>
    <w:rsid w:val="004E1BB8"/>
    <w:rsid w:val="004E1C0A"/>
    <w:rsid w:val="004E30C5"/>
    <w:rsid w:val="004E4AA5"/>
    <w:rsid w:val="004E4AEE"/>
    <w:rsid w:val="004E59E3"/>
    <w:rsid w:val="004E67C0"/>
    <w:rsid w:val="004F391A"/>
    <w:rsid w:val="004F3CFB"/>
    <w:rsid w:val="004F51CE"/>
    <w:rsid w:val="004F6456"/>
    <w:rsid w:val="004F696E"/>
    <w:rsid w:val="004F6C71"/>
    <w:rsid w:val="00501139"/>
    <w:rsid w:val="0050363E"/>
    <w:rsid w:val="005039BC"/>
    <w:rsid w:val="005043BB"/>
    <w:rsid w:val="00504A3D"/>
    <w:rsid w:val="00505767"/>
    <w:rsid w:val="005073F0"/>
    <w:rsid w:val="00510A7B"/>
    <w:rsid w:val="005120F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011"/>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23AB"/>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30F5"/>
    <w:rsid w:val="005B4903"/>
    <w:rsid w:val="005B51CE"/>
    <w:rsid w:val="005B5885"/>
    <w:rsid w:val="005B5CD7"/>
    <w:rsid w:val="005B6CF6"/>
    <w:rsid w:val="005B7422"/>
    <w:rsid w:val="005C29B8"/>
    <w:rsid w:val="005C5F21"/>
    <w:rsid w:val="005C7156"/>
    <w:rsid w:val="005D0C75"/>
    <w:rsid w:val="005D1A9D"/>
    <w:rsid w:val="005D4171"/>
    <w:rsid w:val="005D592A"/>
    <w:rsid w:val="005D65CF"/>
    <w:rsid w:val="005D6A95"/>
    <w:rsid w:val="005D6B2C"/>
    <w:rsid w:val="005D6D9C"/>
    <w:rsid w:val="005E2335"/>
    <w:rsid w:val="005E34CA"/>
    <w:rsid w:val="005E3C18"/>
    <w:rsid w:val="005E4250"/>
    <w:rsid w:val="005E6812"/>
    <w:rsid w:val="005E7881"/>
    <w:rsid w:val="005E78E0"/>
    <w:rsid w:val="005F0D9C"/>
    <w:rsid w:val="005F284E"/>
    <w:rsid w:val="006015CE"/>
    <w:rsid w:val="00602B99"/>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04F6"/>
    <w:rsid w:val="006C1BBA"/>
    <w:rsid w:val="006C2079"/>
    <w:rsid w:val="006C5A62"/>
    <w:rsid w:val="006C5D68"/>
    <w:rsid w:val="006C6976"/>
    <w:rsid w:val="006C6DD0"/>
    <w:rsid w:val="006D04EA"/>
    <w:rsid w:val="006D16C4"/>
    <w:rsid w:val="006D3E96"/>
    <w:rsid w:val="006D4515"/>
    <w:rsid w:val="006D4BB1"/>
    <w:rsid w:val="006D6593"/>
    <w:rsid w:val="006D7CD8"/>
    <w:rsid w:val="006F03A8"/>
    <w:rsid w:val="006F2ACA"/>
    <w:rsid w:val="006F2ADC"/>
    <w:rsid w:val="006F2BFE"/>
    <w:rsid w:val="006F31E9"/>
    <w:rsid w:val="006F6284"/>
    <w:rsid w:val="007002C5"/>
    <w:rsid w:val="00704387"/>
    <w:rsid w:val="00707669"/>
    <w:rsid w:val="00711CBA"/>
    <w:rsid w:val="00711FB5"/>
    <w:rsid w:val="00712A01"/>
    <w:rsid w:val="00714F58"/>
    <w:rsid w:val="00717A1A"/>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85A"/>
    <w:rsid w:val="00756B26"/>
    <w:rsid w:val="00756EDF"/>
    <w:rsid w:val="007600E3"/>
    <w:rsid w:val="0076503B"/>
    <w:rsid w:val="00765C43"/>
    <w:rsid w:val="00765EFB"/>
    <w:rsid w:val="007671CA"/>
    <w:rsid w:val="00767C61"/>
    <w:rsid w:val="0077008A"/>
    <w:rsid w:val="00770F7C"/>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B77C6"/>
    <w:rsid w:val="007C208D"/>
    <w:rsid w:val="007C2D89"/>
    <w:rsid w:val="007C4593"/>
    <w:rsid w:val="007C5309"/>
    <w:rsid w:val="007C6038"/>
    <w:rsid w:val="007C6069"/>
    <w:rsid w:val="007D06C4"/>
    <w:rsid w:val="007D1352"/>
    <w:rsid w:val="007D2508"/>
    <w:rsid w:val="007D346A"/>
    <w:rsid w:val="007D60FD"/>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2C2A"/>
    <w:rsid w:val="00843C13"/>
    <w:rsid w:val="008454F8"/>
    <w:rsid w:val="0085173A"/>
    <w:rsid w:val="00851993"/>
    <w:rsid w:val="00854C2A"/>
    <w:rsid w:val="008603CE"/>
    <w:rsid w:val="008620FC"/>
    <w:rsid w:val="008627A5"/>
    <w:rsid w:val="00863E05"/>
    <w:rsid w:val="00865ACA"/>
    <w:rsid w:val="00865D28"/>
    <w:rsid w:val="00865F85"/>
    <w:rsid w:val="00867C10"/>
    <w:rsid w:val="00870439"/>
    <w:rsid w:val="00870DA1"/>
    <w:rsid w:val="0088340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1FB"/>
    <w:rsid w:val="008B3615"/>
    <w:rsid w:val="008B4AC4"/>
    <w:rsid w:val="008B50C8"/>
    <w:rsid w:val="008B5281"/>
    <w:rsid w:val="008B7E05"/>
    <w:rsid w:val="008C1797"/>
    <w:rsid w:val="008C219C"/>
    <w:rsid w:val="008C475E"/>
    <w:rsid w:val="008C619A"/>
    <w:rsid w:val="008D0CE8"/>
    <w:rsid w:val="008D1F7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F4C"/>
    <w:rsid w:val="008F4C29"/>
    <w:rsid w:val="008F70BD"/>
    <w:rsid w:val="008F788F"/>
    <w:rsid w:val="008F7EA2"/>
    <w:rsid w:val="00900E96"/>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09D6"/>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3948"/>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708C"/>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7B4"/>
    <w:rsid w:val="00A3597D"/>
    <w:rsid w:val="00A36DD1"/>
    <w:rsid w:val="00A4006C"/>
    <w:rsid w:val="00A40091"/>
    <w:rsid w:val="00A4030F"/>
    <w:rsid w:val="00A41C79"/>
    <w:rsid w:val="00A41CB5"/>
    <w:rsid w:val="00A42CDF"/>
    <w:rsid w:val="00A4452E"/>
    <w:rsid w:val="00A4472C"/>
    <w:rsid w:val="00A44E69"/>
    <w:rsid w:val="00A4661E"/>
    <w:rsid w:val="00A52B2E"/>
    <w:rsid w:val="00A55BD6"/>
    <w:rsid w:val="00A55D50"/>
    <w:rsid w:val="00A57142"/>
    <w:rsid w:val="00A648CD"/>
    <w:rsid w:val="00A6537A"/>
    <w:rsid w:val="00A67866"/>
    <w:rsid w:val="00A70B07"/>
    <w:rsid w:val="00A723F8"/>
    <w:rsid w:val="00A77CCB"/>
    <w:rsid w:val="00A83D8D"/>
    <w:rsid w:val="00A8446B"/>
    <w:rsid w:val="00A8473F"/>
    <w:rsid w:val="00A856FE"/>
    <w:rsid w:val="00A862D6"/>
    <w:rsid w:val="00A86E39"/>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730"/>
    <w:rsid w:val="00AD0AEF"/>
    <w:rsid w:val="00AD11B7"/>
    <w:rsid w:val="00AD1A94"/>
    <w:rsid w:val="00AD1C05"/>
    <w:rsid w:val="00AD4126"/>
    <w:rsid w:val="00AD421C"/>
    <w:rsid w:val="00AD44FA"/>
    <w:rsid w:val="00AE070A"/>
    <w:rsid w:val="00AE101C"/>
    <w:rsid w:val="00AE2A69"/>
    <w:rsid w:val="00AE37E5"/>
    <w:rsid w:val="00AE4BE9"/>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05B"/>
    <w:rsid w:val="00B65149"/>
    <w:rsid w:val="00B66567"/>
    <w:rsid w:val="00B66F52"/>
    <w:rsid w:val="00B66FE5"/>
    <w:rsid w:val="00B72880"/>
    <w:rsid w:val="00B758BF"/>
    <w:rsid w:val="00B77EC8"/>
    <w:rsid w:val="00B827A6"/>
    <w:rsid w:val="00B831CE"/>
    <w:rsid w:val="00B83903"/>
    <w:rsid w:val="00B86677"/>
    <w:rsid w:val="00B87131"/>
    <w:rsid w:val="00B939B1"/>
    <w:rsid w:val="00B96D40"/>
    <w:rsid w:val="00B97386"/>
    <w:rsid w:val="00BA263B"/>
    <w:rsid w:val="00BA42B2"/>
    <w:rsid w:val="00BA58D4"/>
    <w:rsid w:val="00BA5B9E"/>
    <w:rsid w:val="00BA7C9A"/>
    <w:rsid w:val="00BB5F8F"/>
    <w:rsid w:val="00BB657A"/>
    <w:rsid w:val="00BC148D"/>
    <w:rsid w:val="00BC1A4E"/>
    <w:rsid w:val="00BC4C40"/>
    <w:rsid w:val="00BC5669"/>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6C8"/>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6F5"/>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D56"/>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784"/>
    <w:rsid w:val="00CE0C4F"/>
    <w:rsid w:val="00CE30EA"/>
    <w:rsid w:val="00CF048A"/>
    <w:rsid w:val="00CF155A"/>
    <w:rsid w:val="00CF2947"/>
    <w:rsid w:val="00CF686F"/>
    <w:rsid w:val="00CF6E60"/>
    <w:rsid w:val="00CF7BCA"/>
    <w:rsid w:val="00D008FD"/>
    <w:rsid w:val="00D02EC9"/>
    <w:rsid w:val="00D0321C"/>
    <w:rsid w:val="00D035EC"/>
    <w:rsid w:val="00D06AB1"/>
    <w:rsid w:val="00D06FC1"/>
    <w:rsid w:val="00D072ED"/>
    <w:rsid w:val="00D07A16"/>
    <w:rsid w:val="00D1067E"/>
    <w:rsid w:val="00D10925"/>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50E6"/>
    <w:rsid w:val="00D562D6"/>
    <w:rsid w:val="00D66846"/>
    <w:rsid w:val="00D675FB"/>
    <w:rsid w:val="00D71F25"/>
    <w:rsid w:val="00D72A9C"/>
    <w:rsid w:val="00D77031"/>
    <w:rsid w:val="00D84941"/>
    <w:rsid w:val="00D84FA1"/>
    <w:rsid w:val="00D851F0"/>
    <w:rsid w:val="00D86DB7"/>
    <w:rsid w:val="00D90721"/>
    <w:rsid w:val="00D926D0"/>
    <w:rsid w:val="00D93030"/>
    <w:rsid w:val="00D93236"/>
    <w:rsid w:val="00D950E1"/>
    <w:rsid w:val="00D952A6"/>
    <w:rsid w:val="00D97F99"/>
    <w:rsid w:val="00DA0DB3"/>
    <w:rsid w:val="00DA1E08"/>
    <w:rsid w:val="00DA24F8"/>
    <w:rsid w:val="00DA28E8"/>
    <w:rsid w:val="00DA351F"/>
    <w:rsid w:val="00DA38D3"/>
    <w:rsid w:val="00DA3932"/>
    <w:rsid w:val="00DA3AFC"/>
    <w:rsid w:val="00DA64F8"/>
    <w:rsid w:val="00DA6C15"/>
    <w:rsid w:val="00DB0258"/>
    <w:rsid w:val="00DB38EE"/>
    <w:rsid w:val="00DB498B"/>
    <w:rsid w:val="00DB66CA"/>
    <w:rsid w:val="00DB6BCA"/>
    <w:rsid w:val="00DB6F54"/>
    <w:rsid w:val="00DB73F7"/>
    <w:rsid w:val="00DB7D79"/>
    <w:rsid w:val="00DC0321"/>
    <w:rsid w:val="00DC191B"/>
    <w:rsid w:val="00DC3067"/>
    <w:rsid w:val="00DC370B"/>
    <w:rsid w:val="00DC5B90"/>
    <w:rsid w:val="00DC5BDB"/>
    <w:rsid w:val="00DD00FF"/>
    <w:rsid w:val="00DD0619"/>
    <w:rsid w:val="00DD07FB"/>
    <w:rsid w:val="00DD25C6"/>
    <w:rsid w:val="00DD4FE5"/>
    <w:rsid w:val="00DD54B0"/>
    <w:rsid w:val="00DD57EE"/>
    <w:rsid w:val="00DD6BCC"/>
    <w:rsid w:val="00DE0A4B"/>
    <w:rsid w:val="00DE0F2E"/>
    <w:rsid w:val="00DE1B9B"/>
    <w:rsid w:val="00DE2410"/>
    <w:rsid w:val="00DE2939"/>
    <w:rsid w:val="00DE6E81"/>
    <w:rsid w:val="00DE703F"/>
    <w:rsid w:val="00DE7595"/>
    <w:rsid w:val="00DF1961"/>
    <w:rsid w:val="00DF37CC"/>
    <w:rsid w:val="00DF44DE"/>
    <w:rsid w:val="00E01138"/>
    <w:rsid w:val="00E02DFB"/>
    <w:rsid w:val="00E030F9"/>
    <w:rsid w:val="00E0311A"/>
    <w:rsid w:val="00E03138"/>
    <w:rsid w:val="00E06404"/>
    <w:rsid w:val="00E11A85"/>
    <w:rsid w:val="00E12495"/>
    <w:rsid w:val="00E14CD7"/>
    <w:rsid w:val="00E15CCD"/>
    <w:rsid w:val="00E202EF"/>
    <w:rsid w:val="00E210B5"/>
    <w:rsid w:val="00E2552F"/>
    <w:rsid w:val="00E30270"/>
    <w:rsid w:val="00E3137A"/>
    <w:rsid w:val="00E32CCF"/>
    <w:rsid w:val="00E34A98"/>
    <w:rsid w:val="00E35D1E"/>
    <w:rsid w:val="00E364F9"/>
    <w:rsid w:val="00E365FA"/>
    <w:rsid w:val="00E36789"/>
    <w:rsid w:val="00E42670"/>
    <w:rsid w:val="00E44A83"/>
    <w:rsid w:val="00E46F36"/>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0D46"/>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4D8"/>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343D"/>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6F80"/>
    <w:rsid w:val="00F5773B"/>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1955"/>
    <w:rsid w:val="00F93A8A"/>
    <w:rsid w:val="00F95248"/>
    <w:rsid w:val="00F956A9"/>
    <w:rsid w:val="00F9600B"/>
    <w:rsid w:val="00F963ED"/>
    <w:rsid w:val="00F966CF"/>
    <w:rsid w:val="00F96CAE"/>
    <w:rsid w:val="00F97C99"/>
    <w:rsid w:val="00FA662D"/>
    <w:rsid w:val="00FA73B1"/>
    <w:rsid w:val="00FB0CB9"/>
    <w:rsid w:val="00FB231D"/>
    <w:rsid w:val="00FB23A5"/>
    <w:rsid w:val="00FB45F1"/>
    <w:rsid w:val="00FB4A72"/>
    <w:rsid w:val="00FB54E8"/>
    <w:rsid w:val="00FB7054"/>
    <w:rsid w:val="00FC17B7"/>
    <w:rsid w:val="00FC2CB7"/>
    <w:rsid w:val="00FC4090"/>
    <w:rsid w:val="00FC4378"/>
    <w:rsid w:val="00FC4F58"/>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411C8C"/>
    <w:rsid w:val="05360B08"/>
    <w:rsid w:val="07E53A1E"/>
    <w:rsid w:val="096565AA"/>
    <w:rsid w:val="0AD1787F"/>
    <w:rsid w:val="0C30401C"/>
    <w:rsid w:val="123F3B1C"/>
    <w:rsid w:val="19113940"/>
    <w:rsid w:val="1D5C258C"/>
    <w:rsid w:val="1E1217DF"/>
    <w:rsid w:val="1E293277"/>
    <w:rsid w:val="1FB621A2"/>
    <w:rsid w:val="2A362165"/>
    <w:rsid w:val="2AE42F18"/>
    <w:rsid w:val="2C91064B"/>
    <w:rsid w:val="38C03831"/>
    <w:rsid w:val="41353446"/>
    <w:rsid w:val="52DE79E7"/>
    <w:rsid w:val="589F2396"/>
    <w:rsid w:val="59530AB8"/>
    <w:rsid w:val="5EC4433D"/>
    <w:rsid w:val="60716FF8"/>
    <w:rsid w:val="624D726E"/>
    <w:rsid w:val="665C598C"/>
    <w:rsid w:val="6F0C0C60"/>
    <w:rsid w:val="6F2A174C"/>
    <w:rsid w:val="74257256"/>
    <w:rsid w:val="74EF581D"/>
    <w:rsid w:val="7B537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hAnsi="CG Times"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qFormat/>
    <w:uiPriority w:val="99"/>
    <w:rPr>
      <w:rFonts w:ascii="Times New Roman" w:hAnsi="Times New Roman" w:eastAsia="宋体" w:cs="Times New Roman"/>
      <w:sz w:val="18"/>
      <w:szCs w:val="18"/>
    </w:rPr>
  </w:style>
  <w:style w:type="character" w:customStyle="1" w:styleId="45">
    <w:name w:val="页脚 Char"/>
    <w:link w:val="18"/>
    <w:qFormat/>
    <w:uiPriority w:val="99"/>
    <w:rPr>
      <w:rFonts w:ascii="宋体" w:hAnsi="Times New Roman" w:eastAsia="宋体" w:cs="Times New Roman"/>
      <w:sz w:val="18"/>
      <w:szCs w:val="18"/>
    </w:rPr>
  </w:style>
  <w:style w:type="character" w:customStyle="1" w:styleId="46">
    <w:name w:val="批注框文本 Char"/>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ind w:left="284"/>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3.jpe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065B9F5490749B483E66DC34BFCB29D"/>
        <w:style w:val=""/>
        <w:category>
          <w:name w:val="常规"/>
          <w:gallery w:val="placeholder"/>
        </w:category>
        <w:types>
          <w:type w:val="bbPlcHdr"/>
        </w:types>
        <w:behaviors>
          <w:behavior w:val="content"/>
        </w:behaviors>
        <w:description w:val=""/>
        <w:guid w:val="{B2437501-363C-4268-9E1B-EDB095D02F4C}"/>
      </w:docPartPr>
      <w:docPartBody>
        <w:p>
          <w:pPr>
            <w:pStyle w:val="5"/>
          </w:pPr>
          <w:r>
            <w:rPr>
              <w:rStyle w:val="4"/>
              <w:rFonts w:hint="eastAsia"/>
            </w:rPr>
            <w:t>单击或点击此处输入文字。</w:t>
          </w:r>
        </w:p>
      </w:docPartBody>
    </w:docPart>
    <w:docPart>
      <w:docPartPr>
        <w:name w:val="658B4C31E14145CFAE7432C087378158"/>
        <w:style w:val=""/>
        <w:category>
          <w:name w:val="常规"/>
          <w:gallery w:val="placeholder"/>
        </w:category>
        <w:types>
          <w:type w:val="bbPlcHdr"/>
        </w:types>
        <w:behaviors>
          <w:behavior w:val="content"/>
        </w:behaviors>
        <w:description w:val=""/>
        <w:guid w:val="{664945EC-6F82-46F1-8269-A51B225F07A6}"/>
      </w:docPartPr>
      <w:docPartBody>
        <w:p>
          <w:pPr>
            <w:pStyle w:val="6"/>
          </w:pPr>
          <w:r>
            <w:rPr>
              <w:rStyle w:val="4"/>
              <w:rFonts w:hint="eastAsia"/>
            </w:rPr>
            <w:t>选择一项。</w:t>
          </w:r>
        </w:p>
      </w:docPartBody>
    </w:docPart>
    <w:docPart>
      <w:docPartPr>
        <w:name w:val="8BBE8F262D6D4B8AA869FE228742CB12"/>
        <w:style w:val=""/>
        <w:category>
          <w:name w:val="常规"/>
          <w:gallery w:val="placeholder"/>
        </w:category>
        <w:types>
          <w:type w:val="bbPlcHdr"/>
        </w:types>
        <w:behaviors>
          <w:behavior w:val="content"/>
        </w:behaviors>
        <w:description w:val=""/>
        <w:guid w:val="{274A4AAB-C5DD-4BFE-9327-32CF9F81A17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7F122E"/>
    <w:rsid w:val="00001F73"/>
    <w:rsid w:val="004070EE"/>
    <w:rsid w:val="0050066A"/>
    <w:rsid w:val="005D0415"/>
    <w:rsid w:val="00730305"/>
    <w:rsid w:val="007F122E"/>
    <w:rsid w:val="0080561D"/>
    <w:rsid w:val="008448EE"/>
    <w:rsid w:val="00B5009F"/>
    <w:rsid w:val="00BD573C"/>
    <w:rsid w:val="00BD7818"/>
    <w:rsid w:val="00C7575E"/>
    <w:rsid w:val="00D80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065B9F5490749B483E66DC34BFCB29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58B4C31E14145CFAE7432C08737815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BBE8F262D6D4B8AA869FE228742CB1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66DFC2-B907-4F7B-92EC-B301E34EC30F}">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10</Pages>
  <Words>903</Words>
  <Characters>5153</Characters>
  <Lines>42</Lines>
  <Paragraphs>12</Paragraphs>
  <TotalTime>9</TotalTime>
  <ScaleCrop>false</ScaleCrop>
  <LinksUpToDate>false</LinksUpToDate>
  <CharactersWithSpaces>6044</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2021-05-12T08:52:00Z</dcterms:created>
  <dc:creator>Administrator</dc:creator>
  <dc:description>&lt;config cover="true" show_menu="true" version="1.0.0" doctype="SDKXY"&gt;_x000d_
&lt;/config&gt;</dc:description>
  <cp:lastModifiedBy>fly</cp:lastModifiedBy>
  <cp:lastPrinted>2021-04-20T07:47:00Z</cp:lastPrinted>
  <dcterms:modified xsi:type="dcterms:W3CDTF">2021-05-12T09:29:20Z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2052-11.1.0.9192</vt:lpwstr>
  </property>
  <property fmtid="{D5CDD505-2E9C-101B-9397-08002B2CF9AE}" pid="15" name="ICV">
    <vt:lpwstr>4E5614B218C24E97AA60D2BC22ECC43D</vt:lpwstr>
  </property>
  <property fmtid="{D5CDD505-2E9C-101B-9397-08002B2CF9AE}" pid="16" name="DoublePage">
    <vt:lpwstr>true</vt:lpwstr>
  </property>
</Properties>
</file>